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8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812" w:hanging="0"/>
        <w:jc w:val="right"/>
        <w:rPr>
          <w:color w:val="FFFFFF" w:themeColor="background1"/>
        </w:rPr>
      </w:pPr>
      <w:r>
        <w:rPr>
          <w:color w:val="FFFFFF" w:themeColor="background1"/>
        </w:rPr>
        <w:t>Приложение</w:t>
      </w:r>
    </w:p>
    <w:p>
      <w:pPr>
        <w:pStyle w:val="Normal"/>
        <w:spacing w:lineRule="auto" w:line="240" w:before="0" w:after="0"/>
        <w:ind w:hanging="0"/>
        <w:jc w:val="right"/>
        <w:rPr>
          <w:color w:val="000000"/>
          <w:sz w:val="22"/>
        </w:rPr>
      </w:pPr>
      <w:r>
        <w:rPr>
          <w:color w:val="FFFFFF" w:themeColor="background1"/>
        </w:rPr>
        <w:t>к постановлению ад</w:t>
      </w:r>
      <w:r>
        <w:rPr>
          <w:color w:val="000000"/>
          <w:sz w:val="22"/>
        </w:rPr>
        <w:t xml:space="preserve"> Приложение</w:t>
      </w:r>
    </w:p>
    <w:p>
      <w:pPr>
        <w:pStyle w:val="Normal"/>
        <w:spacing w:lineRule="auto" w:line="240" w:before="0" w:after="0"/>
        <w:ind w:hanging="0"/>
        <w:jc w:val="right"/>
        <w:rPr>
          <w:color w:val="000000"/>
          <w:sz w:val="22"/>
        </w:rPr>
      </w:pPr>
      <w:r>
        <w:rPr>
          <w:color w:val="000000"/>
          <w:sz w:val="22"/>
        </w:rPr>
        <w:t>к постановлению администрации</w:t>
      </w:r>
    </w:p>
    <w:p>
      <w:pPr>
        <w:pStyle w:val="Normal"/>
        <w:spacing w:lineRule="auto" w:line="240" w:before="0" w:after="0"/>
        <w:ind w:hanging="0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Чугуевского муниципального округа </w:t>
      </w:r>
    </w:p>
    <w:p>
      <w:pPr>
        <w:pStyle w:val="Normal"/>
        <w:spacing w:lineRule="auto" w:line="240" w:before="0" w:after="0"/>
        <w:ind w:hanging="0"/>
        <w:jc w:val="right"/>
        <w:rPr>
          <w:color w:val="000000"/>
          <w:sz w:val="22"/>
        </w:rPr>
      </w:pPr>
      <w:r>
        <w:rPr>
          <w:color w:val="000000"/>
          <w:sz w:val="22"/>
        </w:rPr>
        <w:t>от  13.12.2022г. № 1035</w:t>
      </w:r>
      <w:bookmarkStart w:id="0" w:name="_GoBack"/>
      <w:bookmarkEnd w:id="0"/>
    </w:p>
    <w:p>
      <w:pPr>
        <w:pStyle w:val="Normal"/>
        <w:spacing w:lineRule="auto" w:line="360" w:before="0" w:after="0"/>
        <w:ind w:hanging="0"/>
        <w:jc w:val="center"/>
        <w:rPr>
          <w:b/>
          <w:b/>
          <w:i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</w:r>
    </w:p>
    <w:p>
      <w:pPr>
        <w:pStyle w:val="Normal"/>
        <w:ind w:left="5812" w:hanging="0"/>
        <w:jc w:val="right"/>
        <w:rPr>
          <w:color w:val="FFFFFF" w:themeColor="background1"/>
        </w:rPr>
      </w:pPr>
      <w:r>
        <w:rPr>
          <w:color w:val="FFFFFF" w:themeColor="background1"/>
        </w:rPr>
        <w:t>министрации</w:t>
      </w:r>
    </w:p>
    <w:p>
      <w:pPr>
        <w:pStyle w:val="Normal"/>
        <w:ind w:left="5812" w:hanging="0"/>
        <w:jc w:val="right"/>
        <w:rPr>
          <w:color w:val="FFFFFF" w:themeColor="background1"/>
        </w:rPr>
      </w:pPr>
      <w:r>
        <w:rPr>
          <w:color w:val="FFFFFF" w:themeColor="background1"/>
        </w:rPr>
        <w:t xml:space="preserve">Чугуевского муниципального округа </w:t>
      </w:r>
    </w:p>
    <w:p>
      <w:pPr>
        <w:pStyle w:val="Normal"/>
        <w:ind w:left="5812" w:hanging="0"/>
        <w:jc w:val="right"/>
        <w:rPr>
          <w:color w:val="FFFFFF" w:themeColor="background1"/>
        </w:rPr>
      </w:pPr>
      <w:r>
        <w:rPr>
          <w:color w:val="FFFFFF" w:themeColor="background1"/>
        </w:rPr>
        <w:t>20___г. № ______</w:t>
      </w:r>
    </w:p>
    <w:p>
      <w:pPr>
        <w:pStyle w:val="Normal"/>
        <w:ind w:hanging="0"/>
        <w:rPr>
          <w:color w:val="FFFFFF" w:themeColor="background1"/>
        </w:rPr>
      </w:pPr>
      <w:r>
        <w:rPr>
          <w:color w:val="FFFFFF" w:themeColor="background1"/>
        </w:rPr>
      </w:r>
    </w:p>
    <w:p>
      <w:pPr>
        <w:pStyle w:val="Normal"/>
        <w:ind w:left="5812" w:hanging="0"/>
        <w:jc w:val="right"/>
        <w:rPr>
          <w:color w:val="FFFFFF" w:themeColor="background1"/>
        </w:rPr>
      </w:pPr>
      <w:r>
        <w:rPr>
          <w:color w:val="FFFFFF" w:themeColor="background1"/>
        </w:rPr>
        <w:t>У</w:t>
      </w:r>
    </w:p>
    <w:p>
      <w:pPr>
        <w:pStyle w:val="Normal"/>
        <w:spacing w:before="0" w:after="120"/>
        <w:ind w:hanging="0"/>
        <w:jc w:val="center"/>
        <w:rPr>
          <w:b/>
          <w:b/>
          <w:sz w:val="40"/>
          <w:szCs w:val="38"/>
        </w:rPr>
      </w:pPr>
      <w:r>
        <w:rPr>
          <w:b/>
          <w:sz w:val="40"/>
          <w:szCs w:val="38"/>
        </w:rPr>
        <w:t xml:space="preserve">СХЕМА </w:t>
      </w:r>
    </w:p>
    <w:p>
      <w:pPr>
        <w:pStyle w:val="Normal"/>
        <w:spacing w:before="0" w:after="120"/>
        <w:ind w:hanging="0"/>
        <w:jc w:val="center"/>
        <w:rPr/>
      </w:pPr>
      <w:r>
        <w:rPr>
          <w:b/>
          <w:sz w:val="40"/>
          <w:szCs w:val="38"/>
        </w:rPr>
        <w:t>ВОДОСНАБЖЕНИЯ И ВОДООТВЕДЕНИЯ МУНИЦИПАЛЬНОГО ОБРАЗОВАНИЯ ЧУГУЕВСКОГО МУНИЦИПАЛЬНОГО ОКРУГА         ПРИМОРСКОГО КРАЯ</w:t>
      </w:r>
    </w:p>
    <w:p>
      <w:pPr>
        <w:pStyle w:val="Normal"/>
        <w:spacing w:before="0" w:after="120"/>
        <w:ind w:hanging="0"/>
        <w:jc w:val="center"/>
        <w:rPr>
          <w:b/>
          <w:b/>
          <w:sz w:val="40"/>
          <w:szCs w:val="38"/>
        </w:rPr>
      </w:pPr>
      <w:r>
        <w:rPr>
          <w:b/>
          <w:sz w:val="40"/>
          <w:szCs w:val="38"/>
        </w:rPr>
        <w:t>до 2032 год</w:t>
      </w:r>
    </w:p>
    <w:p>
      <w:pPr>
        <w:pStyle w:val="Normal"/>
        <w:ind w:hanging="0"/>
        <w:jc w:val="center"/>
        <w:rPr>
          <w:sz w:val="40"/>
          <w:szCs w:val="38"/>
          <w:u w:val="single"/>
        </w:rPr>
      </w:pPr>
      <w:r>
        <w:rPr>
          <w:sz w:val="40"/>
          <w:szCs w:val="38"/>
          <w:u w:val="single"/>
        </w:rPr>
      </w:r>
    </w:p>
    <w:p>
      <w:pPr>
        <w:pStyle w:val="Normal"/>
        <w:ind w:hanging="0"/>
        <w:jc w:val="center"/>
        <w:rPr>
          <w:sz w:val="40"/>
          <w:szCs w:val="38"/>
          <w:u w:val="single"/>
        </w:rPr>
      </w:pPr>
      <w:r>
        <w:rPr>
          <w:sz w:val="40"/>
          <w:szCs w:val="38"/>
          <w:u w:val="single"/>
        </w:rPr>
      </w:r>
    </w:p>
    <w:p>
      <w:pPr>
        <w:pStyle w:val="Normal"/>
        <w:ind w:hanging="0"/>
        <w:jc w:val="center"/>
        <w:rPr>
          <w:sz w:val="40"/>
          <w:szCs w:val="38"/>
          <w:u w:val="single"/>
        </w:rPr>
      </w:pPr>
      <w:r>
        <w:rPr>
          <w:sz w:val="40"/>
          <w:szCs w:val="38"/>
          <w:u w:val="single"/>
        </w:rPr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5595" w:leader="none"/>
        </w:tabs>
        <w:ind w:hanging="0"/>
        <w:jc w:val="center"/>
        <w:rPr>
          <w:rFonts w:eastAsia="Times New Roman"/>
          <w:b/>
          <w:b/>
          <w:szCs w:val="24"/>
          <w:lang w:eastAsia="ru-RU"/>
        </w:rPr>
      </w:pPr>
      <w:r>
        <w:rPr/>
        <w:t>2022 год</w:t>
      </w:r>
    </w:p>
    <w:p>
      <w:pPr>
        <w:pStyle w:val="Normal"/>
        <w:tabs>
          <w:tab w:val="clear" w:pos="709"/>
          <w:tab w:val="left" w:pos="5595" w:leader="none"/>
        </w:tabs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tabs>
          <w:tab w:val="clear" w:pos="709"/>
          <w:tab w:val="left" w:pos="5595" w:leader="none"/>
        </w:tabs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tabs>
          <w:tab w:val="clear" w:pos="709"/>
          <w:tab w:val="left" w:pos="5595" w:leader="none"/>
        </w:tabs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tabs>
          <w:tab w:val="clear" w:pos="709"/>
          <w:tab w:val="left" w:pos="5595" w:leader="none"/>
        </w:tabs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tabs>
          <w:tab w:val="clear" w:pos="709"/>
          <w:tab w:val="left" w:pos="5595" w:leader="none"/>
        </w:tabs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tabs>
          <w:tab w:val="clear" w:pos="709"/>
          <w:tab w:val="left" w:pos="5595" w:leader="none"/>
        </w:tabs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tabs>
          <w:tab w:val="clear" w:pos="709"/>
          <w:tab w:val="left" w:pos="5595" w:leader="none"/>
        </w:tabs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tabs>
          <w:tab w:val="clear" w:pos="709"/>
          <w:tab w:val="left" w:pos="5595" w:leader="none"/>
        </w:tabs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Заказчик: </w:t>
        <w:tab/>
      </w:r>
    </w:p>
    <w:p>
      <w:pPr>
        <w:pStyle w:val="Normal"/>
        <w:shd w:val="clear" w:color="auto" w:fill="FFFFFF"/>
        <w:spacing w:lineRule="auto" w:line="240"/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Администрация Чугуевский муниципальный округ</w:t>
      </w:r>
    </w:p>
    <w:p>
      <w:pPr>
        <w:pStyle w:val="Normal"/>
        <w:spacing w:lineRule="auto" w:line="240"/>
        <w:ind w:hanging="0"/>
        <w:jc w:val="left"/>
        <w:rPr>
          <w:bCs/>
          <w:iCs/>
          <w:color w:val="000000"/>
          <w:kern w:val="2"/>
          <w:szCs w:val="26"/>
          <w:lang w:eastAsia="ru-RU"/>
        </w:rPr>
      </w:pPr>
      <w:r>
        <w:rPr>
          <w:bCs/>
          <w:iCs/>
          <w:color w:val="000000"/>
          <w:kern w:val="2"/>
          <w:szCs w:val="26"/>
          <w:lang w:eastAsia="ru-RU"/>
        </w:rPr>
        <w:t>Юридический адрес: 692623, Приморский край, Чугуевский район, с. Чугуевка, ул. 50 лет Октября, д. 193.</w:t>
      </w:r>
    </w:p>
    <w:p>
      <w:pPr>
        <w:pStyle w:val="Normal"/>
        <w:spacing w:lineRule="auto" w:line="240"/>
        <w:ind w:hanging="0"/>
        <w:jc w:val="left"/>
        <w:rPr>
          <w:bCs/>
          <w:iCs/>
          <w:color w:val="000000"/>
          <w:kern w:val="2"/>
          <w:szCs w:val="26"/>
          <w:lang w:eastAsia="ru-RU"/>
        </w:rPr>
      </w:pPr>
      <w:r>
        <w:rPr>
          <w:bCs/>
          <w:iCs/>
          <w:color w:val="000000"/>
          <w:kern w:val="2"/>
          <w:szCs w:val="26"/>
          <w:lang w:eastAsia="ru-RU"/>
        </w:rPr>
        <w:t>Фактический адрес: 692623, Приморский край, Чугуевский район, с. Чугуевка, ул. 50 лет Октября, д. 193.</w:t>
      </w:r>
    </w:p>
    <w:p>
      <w:pPr>
        <w:pStyle w:val="Normal"/>
        <w:spacing w:lineRule="auto" w:line="240"/>
        <w:ind w:hanging="0"/>
        <w:jc w:val="left"/>
        <w:rPr>
          <w:bCs/>
          <w:iCs/>
          <w:color w:val="000000"/>
          <w:kern w:val="2"/>
          <w:szCs w:val="26"/>
          <w:lang w:eastAsia="ru-RU"/>
        </w:rPr>
      </w:pPr>
      <w:r>
        <w:rPr>
          <w:bCs/>
          <w:iCs/>
          <w:color w:val="000000"/>
          <w:kern w:val="2"/>
          <w:szCs w:val="26"/>
          <w:lang w:eastAsia="ru-RU"/>
        </w:rPr>
      </w:r>
    </w:p>
    <w:p>
      <w:pPr>
        <w:pStyle w:val="Normal"/>
        <w:spacing w:lineRule="auto" w:line="240"/>
        <w:ind w:hanging="0"/>
        <w:jc w:val="left"/>
        <w:rPr>
          <w:bCs/>
          <w:iCs/>
          <w:color w:val="000000"/>
          <w:kern w:val="2"/>
          <w:szCs w:val="26"/>
          <w:lang w:eastAsia="ru-RU"/>
        </w:rPr>
      </w:pPr>
      <w:r>
        <w:rPr>
          <w:bCs/>
          <w:iCs/>
          <w:color w:val="000000"/>
          <w:kern w:val="2"/>
          <w:szCs w:val="26"/>
          <w:lang w:eastAsia="ru-RU"/>
        </w:rPr>
        <w:t xml:space="preserve">_________________ Деменев Р.Ю. </w:t>
      </w:r>
    </w:p>
    <w:p>
      <w:pPr>
        <w:pStyle w:val="Normal"/>
        <w:spacing w:lineRule="auto" w:line="240"/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spacing w:lineRule="auto" w:line="240"/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Разработчик:</w:t>
      </w:r>
    </w:p>
    <w:p>
      <w:pPr>
        <w:pStyle w:val="Normal"/>
        <w:spacing w:lineRule="auto" w:line="240"/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Индивидуальный предприниматель Крылов Иван Васильевич </w:t>
      </w:r>
    </w:p>
    <w:p>
      <w:pPr>
        <w:pStyle w:val="Normal"/>
        <w:spacing w:lineRule="auto" w:line="240"/>
        <w:ind w:hanging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Юридический адрес: 160024, г.Вологда, ул. Фрязиновская 25Г </w:t>
      </w:r>
    </w:p>
    <w:p>
      <w:pPr>
        <w:pStyle w:val="Normal"/>
        <w:spacing w:lineRule="auto" w:line="240"/>
        <w:ind w:hanging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Фактический адрес: 160000, г.Вологда, ул. Пречистенская набережная дом 72 офис 1Н</w:t>
      </w:r>
    </w:p>
    <w:p>
      <w:pPr>
        <w:pStyle w:val="Normal"/>
        <w:spacing w:lineRule="auto" w:line="240"/>
        <w:ind w:hanging="0"/>
        <w:jc w:val="left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Контакты:  </w:t>
      </w:r>
    </w:p>
    <w:p>
      <w:pPr>
        <w:pStyle w:val="Normal"/>
        <w:spacing w:lineRule="auto" w:line="240"/>
        <w:ind w:hanging="0"/>
        <w:jc w:val="left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val="en-US" w:eastAsia="ru-RU"/>
        </w:rPr>
        <w:t>Email: ea503532@yandex.ru</w:t>
      </w:r>
    </w:p>
    <w:p>
      <w:pPr>
        <w:pStyle w:val="Normal"/>
        <w:spacing w:lineRule="auto" w:line="240"/>
        <w:ind w:hanging="0"/>
        <w:jc w:val="left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eastAsia="ru-RU"/>
        </w:rPr>
        <w:t>Телефон</w:t>
      </w:r>
      <w:r>
        <w:rPr>
          <w:rFonts w:eastAsia="Times New Roman"/>
          <w:szCs w:val="24"/>
          <w:lang w:val="en-US" w:eastAsia="ru-RU"/>
        </w:rPr>
        <w:t>: +7 (8172) 50-35-32</w:t>
      </w:r>
    </w:p>
    <w:p>
      <w:pPr>
        <w:pStyle w:val="Normal"/>
        <w:spacing w:lineRule="auto" w:line="240"/>
        <w:ind w:hanging="0"/>
        <w:jc w:val="left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val="en-US" w:eastAsia="ru-RU"/>
        </w:rPr>
        <w:t>_________________ Крылов И.В.</w:t>
      </w:r>
    </w:p>
    <w:p>
      <w:pPr>
        <w:pStyle w:val="Style40"/>
        <w:ind w:hanging="0"/>
        <w:rPr/>
      </w:pPr>
      <w:r>
        <w:rPr/>
      </w:r>
    </w:p>
    <w:p>
      <w:pPr>
        <w:pStyle w:val="Style40"/>
        <w:ind w:hanging="0"/>
        <w:rPr/>
      </w:pPr>
      <w:r>
        <w:rPr/>
      </w:r>
    </w:p>
    <w:p>
      <w:pPr>
        <w:pStyle w:val="Style40"/>
        <w:ind w:hanging="0"/>
        <w:rPr/>
      </w:pPr>
      <w:r>
        <w:rPr/>
      </w:r>
    </w:p>
    <w:p>
      <w:pPr>
        <w:pStyle w:val="Style40"/>
        <w:ind w:hanging="0"/>
        <w:rPr/>
      </w:pPr>
      <w:r>
        <w:rPr/>
      </w:r>
    </w:p>
    <w:p>
      <w:pPr>
        <w:pStyle w:val="Style40"/>
        <w:ind w:hanging="0"/>
        <w:rPr/>
      </w:pPr>
      <w:r>
        <w:rPr/>
      </w:r>
    </w:p>
    <w:p>
      <w:pPr>
        <w:pStyle w:val="Style40"/>
        <w:ind w:hanging="0"/>
        <w:rPr/>
      </w:pPr>
      <w:r>
        <w:rPr/>
      </w:r>
    </w:p>
    <w:p>
      <w:pPr>
        <w:pStyle w:val="Style40"/>
        <w:ind w:hanging="0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b/>
          <w:b/>
        </w:rPr>
      </w:pPr>
      <w:r>
        <w:rPr>
          <w:b/>
        </w:rPr>
      </w:r>
      <w:r>
        <w:br w:type="page"/>
      </w:r>
    </w:p>
    <w:p>
      <w:pPr>
        <w:pStyle w:val="Style40"/>
        <w:ind w:hanging="0"/>
        <w:rPr/>
      </w:pPr>
      <w:r>
        <w:rPr/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9"/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rPr>
              <w:webHidden/>
            </w:rPr>
            <w:instrText xml:space="preserve"> TOC \z \o "1-9" \u \h</w:instrText>
          </w:r>
          <w:r>
            <w:rPr>
              <w:webHidden/>
            </w:rPr>
            <w:fldChar w:fldCharType="separate"/>
          </w:r>
          <w:hyperlink w:anchor="_Toc107492586">
            <w:r>
              <w:rPr>
                <w:webHidden/>
              </w:rPr>
              <w:t>СХЕМА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_Toc107492586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87">
            <w:r>
              <w:rPr>
                <w:webHidden/>
                <w:kern w:val="2"/>
              </w:rPr>
              <w:t>ТЕРМИНЫ И ОПРЕДЕЛЕНИЯ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_Toc107492587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88">
            <w:r>
              <w:rPr>
                <w:webHidden/>
                <w:rFonts w:eastAsia="TimesNewRomanPS-BoldMT"/>
              </w:rPr>
              <w:t>1.1.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_Toc107492588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89">
            <w:r>
              <w:rPr>
                <w:webHidden/>
                <w:rFonts w:eastAsia="TimesNewRomanPS-BoldMT"/>
              </w:rPr>
              <w:t>1.2.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ОБЩИЕ СВЕДЕНИЯ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_Toc107492589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0">
            <w:r>
              <w:rPr>
                <w:webHidden/>
                <w:rFonts w:eastAsia="TimesNewRomanPS-BoldMT"/>
              </w:rPr>
              <w:t>1.3.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ТЕХНИКО-ЭКОНОМИЧЕСКОЕ СОСТОЯНИЕ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1">
            <w:r>
              <w:rPr>
                <w:webHidden/>
              </w:rPr>
              <w:t>1.3.1.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системы и структуры водоснабжения муниципального округа и деление территории на эксплуатационные зоны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2">
            <w:r>
              <w:rPr>
                <w:webHidden/>
              </w:rPr>
              <w:t>1.3.2.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территорий муниципального образования, не охваченных централизованными системами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3">
            <w:r>
              <w:rPr>
                <w:webHidden/>
              </w:rPr>
              <w:t>1.3.3.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4">
            <w:r>
              <w:rPr>
                <w:webHidden/>
              </w:rPr>
              <w:t>1.3.4.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результатов технического обследования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5">
            <w:r>
              <w:rPr>
                <w:webHidden/>
              </w:rPr>
              <w:t>1.3.4.1.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состояния существующих источников водоснабжения и водозаборных сооружений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6">
            <w:r>
              <w:rPr>
                <w:webHidden/>
              </w:rPr>
              <w:t>1.3.4.2.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7">
            <w:r>
              <w:rPr>
                <w:webHidden/>
              </w:rPr>
              <w:t>1.3.4.3.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lang w:eastAsia="ru-RU"/>
              </w:rPr>
      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8">
            <w:r>
              <w:rPr>
                <w:webHidden/>
              </w:rPr>
              <w:t>1.3.4.4.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lang w:eastAsia="ru-RU"/>
              </w:rPr>
    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599">
            <w:r>
              <w:rPr>
                <w:webHidden/>
              </w:rPr>
              <w:t>1.3.4.5.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существующих технических и технологических проблем, возникающих при водоснабжении Чугуевского муниципального округа,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_Toc107492599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0">
            <w:r>
              <w:rPr>
                <w:webHidden/>
              </w:rPr>
              <w:t>1.3.4.6.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1">
            <w:r>
              <w:rPr>
                <w:webHidden/>
              </w:rPr>
              <w:t>1.3.5.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2">
            <w:r>
              <w:rPr>
                <w:webHidden/>
              </w:rPr>
              <w:t>1.3.6.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3">
            <w:r>
              <w:rPr>
                <w:webHidden/>
                <w:rFonts w:eastAsia="TimesNewRomanPS-BoldMT"/>
              </w:rPr>
              <w:t>1.4.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НАПРАВЛЕНИЯ РАЗВИТИЯ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4">
            <w:r>
              <w:rPr>
                <w:webHidden/>
              </w:rPr>
              <w:t>1.4.1.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Основные направления, принципы, задачи и плановые значения показателей развития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5">
            <w:r>
              <w:rPr>
                <w:webHidden/>
              </w:rPr>
              <w:t>1.4.2.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Различные сценарии развития централизованных систем водоснабжения в зависимости от сценариев развития муниципального образования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6">
            <w:r>
              <w:rPr>
                <w:webHidden/>
                <w:rFonts w:eastAsia="TimesNewRomanPS-BoldMT"/>
              </w:rPr>
              <w:t>1.5.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БАЛАНС ВОДОСНАБЖЕНИЯ И ПОТРЕБЛЕНИЯ ГОРЯЧЕЙ, ПИТЬЕВОЙ, ТЕХНИЧЕСКОЙ ВОДЫ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7">
            <w:r>
              <w:rPr>
                <w:webHidden/>
              </w:rPr>
              <w:t>1.5.1.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Общий баланс подачи и реализации воды, включая оценку  и анализ структурных составляющих неучтенных расходов и потерь воды при ее производстве и транспортировке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8">
            <w:r>
              <w:rPr>
                <w:webHidden/>
              </w:rPr>
              <w:t>1.5.2.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09">
            <w:r>
              <w:rPr>
                <w:webHidden/>
              </w:rPr>
              <w:t>1.5.3.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" w:eastAsiaTheme="majorEastAsia"/>
              </w:rPr>
      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(пожаротушение, полив и др.)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_Toc107492609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0">
            <w:r>
              <w:rPr>
                <w:webHidden/>
              </w:rPr>
              <w:t>1.5.4.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1">
            <w:r>
              <w:rPr>
                <w:webHidden/>
              </w:rPr>
              <w:t>1.5.5.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существующей системы коммерческого учета горячей, питьевой, технической воды и планов по установке приборов учета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2">
            <w:r>
              <w:rPr>
                <w:webHidden/>
              </w:rPr>
              <w:t>1.5.6.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Анализ резервов и дефицитов производственных мощностей системы водоснабжения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3">
            <w:r>
              <w:rPr>
                <w:webHidden/>
              </w:rPr>
              <w:t>1.5.7.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Прогнозный баланс потребления воды на срок не менее 10 лет с учетом сценария развития Чугуевского муниципального округа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4">
            <w:r>
              <w:rPr>
                <w:webHidden/>
              </w:rPr>
              <w:t>1.5.8.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5">
            <w:r>
              <w:rPr>
                <w:webHidden/>
              </w:rPr>
              <w:t>1.5.9.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 фактическом и ожидаемом потреблении воды (годовое, среднесуточное, максимальное суточное)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6">
            <w:r>
              <w:rPr>
                <w:webHidden/>
              </w:rPr>
              <w:t>1.5.10.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территориальной структуры потребления горячей, питьевой, технической воды по технологическим зонам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7">
            <w:r>
              <w:rPr>
                <w:webHidden/>
              </w:rPr>
              <w:t>1.5.11.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Arial Unicode MS"/>
                <w:lang w:eastAsia="zh-CN"/>
              </w:rPr>
              <w:t>Прогноз распределения расходов воды на водоснабжение, по типам абонентов, исходя из фактических расходов воды с учетом данных о перспективном потреблении воды абонентами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8">
            <w:r>
              <w:rPr>
                <w:webHidden/>
              </w:rPr>
              <w:t>1.5.12.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lang w:eastAsia="zh-CN"/>
              </w:rPr>
              <w:t>Сведения о фактических и планируемых потерях воды при ее транспортировке (годовые, среднесуточные значения)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19">
            <w:r>
              <w:rPr>
                <w:webHidden/>
              </w:rPr>
              <w:t>1.5.13.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lang w:eastAsia="zh-CN"/>
              </w:rPr>
      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_Toc107492619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0">
            <w:r>
              <w:rPr>
                <w:webHidden/>
              </w:rPr>
              <w:t>1.5.14.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lang w:eastAsia="zh-CN"/>
              </w:rPr>
    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1">
            <w:r>
              <w:rPr>
                <w:webHidden/>
              </w:rPr>
              <w:t>1.5.15.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lang w:eastAsia="zh-CN"/>
              </w:rPr>
              <w:t>Наименование организации, наделенной статусом гарантирующей организации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2">
            <w:r>
              <w:rPr>
                <w:webHidden/>
                <w:rFonts w:eastAsia="TimesNewRomanPS-BoldMT"/>
              </w:rPr>
              <w:t>1.6.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" w:eastAsiaTheme="majorEastAsia"/>
              </w:rPr>
              <w:t>ПРЕДЛОЖЕНИЯ ПО СТРОИТЕЛЬСТВУ, РЕКОНСТРУКЦИИ И МОДЕРНИЗАЦИИ ОБЪЕКТОВ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3">
            <w:r>
              <w:rPr>
                <w:webHidden/>
              </w:rPr>
              <w:t>1.6.1.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Перечень основных мероприятий по реализации схем водоснабжения с разбивкой по годам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4">
            <w:r>
              <w:rPr>
                <w:webHidden/>
              </w:rPr>
              <w:t>1.6.2.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Технические обоснования основных мероприятий по реализации схем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5">
            <w:r>
              <w:rPr>
                <w:webHidden/>
              </w:rPr>
              <w:t>1.6.3.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 вновь строящихся, реконструируемых и предлагаемых к выводу из эксплуатации объектах системы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6">
            <w:r>
              <w:rPr>
                <w:webHidden/>
              </w:rPr>
              <w:t>1.6.4.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  <w:tab/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7">
            <w:r>
              <w:rPr>
                <w:webHidden/>
              </w:rPr>
              <w:t>1.6.5.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8">
            <w:r>
              <w:rPr>
                <w:webHidden/>
              </w:rPr>
              <w:t>1.6.6.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вариантовмаршрутов прохождения трубопроводов (трасс) по территории муниципального округа и их обоснование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29">
            <w:r>
              <w:rPr>
                <w:webHidden/>
              </w:rPr>
              <w:t>1.6.7.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Рекомендации о месте размещения насосных станций, резервуаров, водонапорных башен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_Toc107492629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0">
            <w:r>
              <w:rPr>
                <w:webHidden/>
              </w:rPr>
              <w:t>1.6.8.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Границы планируемых зон размещения объектов централизованных систем горячего водоснабжения, холодного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1">
            <w:r>
              <w:rPr>
                <w:webHidden/>
              </w:rPr>
              <w:t>1.6.9.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2">
            <w:r>
              <w:rPr>
                <w:webHidden/>
                <w:rFonts w:eastAsia="TimesNewRomanPS-BoldMT"/>
              </w:rPr>
              <w:t>1.7.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" w:eastAsiaTheme="majorEastAsia"/>
              </w:rPr>
              <w:t>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3">
            <w:r>
              <w:rPr>
                <w:webHidden/>
                <w:rFonts w:eastAsia="" w:eastAsiaTheme="majorEastAsia"/>
              </w:rPr>
              <w:t>1.7.1.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4">
            <w:r>
              <w:rPr>
                <w:webHidden/>
                <w:rFonts w:eastAsia="" w:eastAsiaTheme="majorEastAsia"/>
              </w:rPr>
              <w:t>1.7.2.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5">
            <w:r>
              <w:rPr>
                <w:webHidden/>
                <w:rFonts w:eastAsia="TimesNewRomanPS-BoldMT"/>
              </w:rPr>
              <w:t>1.8.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6">
            <w:r>
              <w:rPr>
                <w:webHidden/>
                <w:rFonts w:eastAsia="TimesNewRomanPS-BoldMT"/>
              </w:rPr>
              <w:t>1.9.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ПЛАНОВЫЕ ЗНАЧЕНИЯ ПОКАЗАТЕЛЕЙ РАЗВИТИЯ ЦЕНТРАЛИЗОВАННЫХ СИСТЕМ ВОДОСНАБЖЕНИЯ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7">
            <w:r>
              <w:rPr>
                <w:webHidden/>
                <w:rFonts w:eastAsia="TimesNewRomanPS-BoldMT"/>
              </w:rPr>
              <w:t>1.10.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8">
            <w:r>
              <w:rPr>
                <w:webHidden/>
              </w:rPr>
              <w:t>СХЕМА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39">
            <w:r>
              <w:rPr>
                <w:webHidden/>
                <w:kern w:val="2"/>
              </w:rPr>
              <w:t>ТЕРМИНЫ И ОПРЕДЕЛЕНИЯ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_Toc107492639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0">
            <w:r>
              <w:rPr>
                <w:webHidden/>
                <w:rFonts w:eastAsia="TimesNewRomanPS-BoldMT"/>
              </w:rPr>
              <w:t>2.1.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1">
            <w:r>
              <w:rPr>
                <w:webHidden/>
                <w:rFonts w:eastAsia="TimesNewRomanPS-BoldMT"/>
              </w:rPr>
              <w:t>2.2.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СУЩЕСТВУЮЩЕЕ ПОЛОЖЕНИЕ В СФЕРЕ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2">
            <w:r>
              <w:rPr>
                <w:webHidden/>
                <w:rFonts w:eastAsia="TimesNewRomanPS-BoldMT"/>
              </w:rPr>
              <w:t>2.2.1.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Описание структуры системы сбора, очистки и отведения сточных вод на территории Чугуевского муниципального округа и деление территории поселения на эксплуатационные зоны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3">
            <w:r>
              <w:rPr>
                <w:webHidden/>
                <w:rFonts w:eastAsia="TimesNewRomanPS-BoldMT"/>
              </w:rPr>
              <w:t>2.2.2.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59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4">
            <w:r>
              <w:rPr>
                <w:webHidden/>
                <w:rFonts w:eastAsia="TimesNewRomanPS-BoldMT"/>
              </w:rPr>
              <w:t>2.2.3.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5">
            <w:r>
              <w:rPr>
                <w:webHidden/>
                <w:rFonts w:eastAsia="TimesNewRomanPS-BoldMT"/>
              </w:rPr>
              <w:t>2.2.4.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6">
            <w:r>
              <w:rPr>
                <w:webHidden/>
                <w:rFonts w:eastAsia="TimesNewRomanPS-BoldMT"/>
              </w:rPr>
              <w:t>2.2.5.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7">
            <w:r>
              <w:rPr>
                <w:webHidden/>
                <w:rFonts w:eastAsia="TimesNewRomanPS-BoldMT"/>
              </w:rPr>
              <w:t>2.2.6.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Оценка безопасности и надежности объектов централизованной системы водоотведения и их управляемости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8">
            <w:r>
              <w:rPr>
                <w:webHidden/>
                <w:rFonts w:eastAsia="TimesNewRomanPS-BoldMT"/>
              </w:rPr>
              <w:t>2.2.7.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Оценка воздействия сбросов сточных вод через централизованную систему водоотведения на окружающую среду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49">
            <w:r>
              <w:rPr>
                <w:webHidden/>
                <w:rFonts w:eastAsia="TimesNewRomanPS-BoldMT"/>
              </w:rPr>
              <w:t>2.2.8.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территорий Чугуевского муниципального округа, не охваченных централизованной системой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_Toc107492649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0">
            <w:r>
              <w:rPr>
                <w:webHidden/>
                <w:rFonts w:eastAsia="TimesNewRomanPS-BoldMT"/>
              </w:rPr>
              <w:t>2.2.9.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существующих технических и технологических проблем системы водоотведения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1">
            <w:r>
              <w:rPr>
                <w:webHidden/>
                <w:rFonts w:eastAsia="TimesNewRomanPS-BoldMT"/>
              </w:rPr>
              <w:t>2.2.10.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68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2">
            <w:r>
              <w:rPr>
                <w:webHidden/>
                <w:rFonts w:eastAsia="TimesNewRomanPS-BoldMT"/>
              </w:rPr>
              <w:t>2.2.10.1.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3">
            <w:r>
              <w:rPr>
                <w:webHidden/>
                <w:rFonts w:eastAsia="TimesNewRomanPS-BoldMT"/>
              </w:rPr>
              <w:t>2.3.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БАЛАНСЫ СТОЧНЫХ ВОД В СИСТЕМЕ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4">
            <w:r>
              <w:rPr>
                <w:webHidden/>
                <w:rFonts w:eastAsia="TimesNewRomanPS-BoldMT"/>
              </w:rPr>
              <w:t>2.3.1.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  <w:iCs/>
              </w:rPr>
              <w:t>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5">
            <w:r>
              <w:rPr>
                <w:webHidden/>
                <w:rFonts w:eastAsia="TimesNewRomanPS-BoldMT"/>
              </w:rPr>
              <w:t>2.3.2.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6">
            <w:r>
              <w:rPr>
                <w:webHidden/>
                <w:rFonts w:eastAsia="TimesNewRomanPS-BoldMT"/>
              </w:rPr>
              <w:t>2.3.3.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7">
            <w:r>
              <w:rPr>
                <w:webHidden/>
                <w:rFonts w:eastAsia="TimesNewRomanPS-BoldMT"/>
              </w:rPr>
              <w:t>2.3.4.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8">
            <w:r>
              <w:rPr>
                <w:webHidden/>
                <w:rFonts w:eastAsia="TimesNewRomanPS-BoldMT"/>
              </w:rPr>
              <w:t>2.3.5.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округа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59">
            <w:r>
              <w:rPr>
                <w:webHidden/>
                <w:rFonts w:eastAsia="TimesNewRomanPS-BoldMT"/>
              </w:rPr>
              <w:t>2.4.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ПРОГНОЗ ОБЪЕМА СТОЧНЫХ ВОД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_Toc107492659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0">
            <w:r>
              <w:rPr>
                <w:webHidden/>
                <w:rFonts w:eastAsia="TimesNewRomanPS-BoldMT"/>
              </w:rPr>
              <w:t>2.4.1.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  <w:iCs/>
              </w:rPr>
              <w:t>Сведения о фактическом и ожидаемом поступлении сточных вод в централизованную систему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1">
            <w:r>
              <w:rPr>
                <w:webHidden/>
                <w:rFonts w:eastAsia="TimesNewRomanPS-BoldMT"/>
              </w:rPr>
              <w:t>2.4.2.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Описание структуры централизованной системы водоотведения (эксплуатационные и технологические зоны)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2">
            <w:r>
              <w:rPr>
                <w:webHidden/>
                <w:rFonts w:eastAsia="TimesNewRomanPS-BoldMT"/>
              </w:rPr>
              <w:t>2.4.3.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3">
            <w:r>
              <w:rPr>
                <w:webHidden/>
                <w:rFonts w:eastAsia="TimesNewRomanPS-BoldMT"/>
              </w:rPr>
              <w:t>2.4.4.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Результаты анализа гидравлических режимов и режимов работы элементов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4">
            <w:r>
              <w:rPr>
                <w:webHidden/>
                <w:rFonts w:eastAsia="TimesNewRomanPS-BoldMT"/>
              </w:rPr>
              <w:t>2.4.5.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Анализ резервов производственных мощностей очистных сооружений системы водоотведения и возможности расширения зоны их действия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69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5">
            <w:r>
              <w:rPr>
                <w:webHidden/>
                <w:rFonts w:eastAsia="TimesNewRomanPS-BoldMT"/>
              </w:rPr>
              <w:t>2.5.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6">
            <w:r>
              <w:rPr>
                <w:webHidden/>
                <w:rFonts w:eastAsia="TimesNewRomanPS-BoldMT"/>
              </w:rPr>
              <w:t>2.5.1.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 xml:space="preserve">Основные направления, принципы, задачи и </w:t>
            </w:r>
            <w:r>
              <w:rPr>
                <w:rFonts w:eastAsia="TimesNewRomanPS-BoldMT"/>
                <w:iCs/>
              </w:rPr>
              <w:t>плановые значения показателей</w:t>
            </w:r>
            <w:r>
              <w:rPr>
                <w:rFonts w:eastAsia="TimesNewRomanPS-BoldMT"/>
              </w:rPr>
              <w:t xml:space="preserve"> развития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7">
            <w:r>
              <w:rPr>
                <w:webHidden/>
                <w:rFonts w:eastAsia="TimesNewRomanPS-BoldMT"/>
              </w:rPr>
              <w:t>2.5.2.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8">
            <w:r>
              <w:rPr>
                <w:webHidden/>
                <w:rFonts w:eastAsia="TimesNewRomanPS-BoldMT"/>
              </w:rPr>
              <w:t>2.5.3.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Технические обоснования основных мероприятий по реализации схем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69">
            <w:r>
              <w:rPr>
                <w:webHidden/>
                <w:rFonts w:eastAsia="TimesNewRomanPS-BoldMT"/>
              </w:rPr>
              <w:t>2.5.4.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_Toc107492669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0">
            <w:r>
              <w:rPr>
                <w:webHidden/>
                <w:rFonts w:eastAsia="TimesNewRomanPS-BoldMT"/>
              </w:rPr>
              <w:t>2.5.5.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1">
            <w:r>
              <w:rPr>
                <w:webHidden/>
                <w:rFonts w:eastAsia="TimesNewRomanPS-BoldMT"/>
              </w:rPr>
              <w:t>2.5.6.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 вновь строящихся, реконструируемых и предлагаемых к выводу из эксплуатации объектах централизованной системы водоотведения, описание вариантов маршрутов прохождения трубопроводов (трасс) потерритории Чугуевского муниципального округа, расположения намечаемых площадок под строительство сооружений водоотведения и их обоснование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2">
            <w:r>
              <w:rPr>
                <w:webHidden/>
                <w:rFonts w:eastAsia="TimesNewRomanPS-BoldMT"/>
              </w:rPr>
              <w:t>2.5.7.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Границы и характеристики охранных зон сетей и сооружений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3">
            <w:r>
              <w:rPr>
                <w:webHidden/>
                <w:rFonts w:eastAsia="TimesNewRomanPS-BoldMT"/>
              </w:rPr>
              <w:t>2.5.8.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Границы планируемых зон размещения объектов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4">
            <w:r>
              <w:rPr>
                <w:webHidden/>
                <w:rFonts w:eastAsia="TimesNewRomanPS-BoldMT"/>
              </w:rPr>
              <w:t>2.6.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ЭКОЛОГИЧЕСКИЕ АСПЕКТЫ МЕРОПРИЯТИЙ ПО СТРОИТЕЛЬСТВУ И РЕКОНСТРУКЦИИ ОБЪЕКТОВ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_Toc107492674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5">
            <w:r>
              <w:rPr>
                <w:webHidden/>
                <w:rFonts w:eastAsia="TimesNewRomanPS-BoldMT"/>
              </w:rPr>
              <w:t>2.6.1.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  <w:iCs/>
              </w:rPr>
    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_Toc107492675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44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6">
            <w:r>
              <w:rPr>
                <w:webHidden/>
                <w:rFonts w:eastAsia="TimesNewRomanPS-BoldMT"/>
              </w:rPr>
              <w:t>2.6.2.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/>
              <w:t>Сведения о применении методов, безопасных для окружающей среды, при утилизации осадков сточных вод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7">
            <w:r>
              <w:rPr>
                <w:webHidden/>
                <w:rFonts w:eastAsia="TimesNewRomanPS-BoldMT"/>
              </w:rPr>
              <w:t>2.7.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_Toc107492677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8">
            <w:r>
              <w:rPr>
                <w:webHidden/>
                <w:rFonts w:eastAsia="TimesNewRomanPS-BoldMT"/>
              </w:rPr>
              <w:t>2.8.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ПЛАНОВЫЕ ЗНАЧЕНИЯ ПОКАЗАТЕЛЕЙ РАЗВИТИЯ ЦЕНТРАЛИЗОВАННЫХ СИСТЕМ ВОДООТВЕДЕНИЯ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79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9"/>
            <w:tabs>
              <w:tab w:val="left" w:pos="1200" w:leader="none"/>
              <w:tab w:val="right" w:pos="1019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lang w:eastAsia="ru-RU"/>
            </w:rPr>
          </w:pPr>
          <w:hyperlink w:anchor="_Toc107492679">
            <w:r>
              <w:rPr>
                <w:webHidden/>
                <w:rFonts w:eastAsia="TimesNewRomanPS-BoldMT"/>
              </w:rPr>
              <w:t>2.9.</w:t>
            </w:r>
            <w:r>
              <w:rPr>
                <w:rFonts w:eastAsia="" w:cs="" w:cstheme="minorBidi" w:eastAsiaTheme="minorEastAsia"/>
                <w:sz w:val="22"/>
                <w:lang w:eastAsia="ru-RU"/>
              </w:rPr>
              <w:tab/>
            </w:r>
            <w:r>
              <w:rPr>
                <w:rFonts w:eastAsia="TimesNewRomanPS-BoldMT"/>
              </w:rPr>
              <w:t>ПЕРЕЧЕНЬ ВЫЯВЛЕННЫХ БЕСХОЗНЫХ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_Toc107492679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81</w:t>
            </w:r>
            <w:r>
              <w:rPr>
                <w:webHidden/>
              </w:rPr>
              <w:fldChar w:fldCharType="end"/>
            </w:r>
          </w:hyperlink>
          <w:r>
            <w:rPr>
              <w:vanish w:val="false"/>
            </w:rPr>
            <w:fldChar w:fldCharType="end"/>
          </w:r>
        </w:p>
      </w:sdtContent>
    </w:sdt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Style40"/>
        <w:rPr/>
      </w:pPr>
      <w:r>
        <w:rPr/>
      </w:r>
      <w:r>
        <w:br w:type="page"/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2"/>
        <w:numPr>
          <w:ilvl w:val="0"/>
          <w:numId w:val="0"/>
        </w:numPr>
        <w:spacing w:lineRule="auto" w:line="240"/>
        <w:ind w:left="284" w:hanging="0"/>
        <w:jc w:val="center"/>
        <w:rPr>
          <w:u w:val="single"/>
        </w:rPr>
      </w:pPr>
      <w:bookmarkStart w:id="1" w:name="_Toc107492586"/>
      <w:r>
        <w:rPr>
          <w:u w:val="single"/>
        </w:rPr>
        <w:t>СХЕМА ВОДОСНАБЖЕНИЯ</w:t>
      </w:r>
      <w:bookmarkEnd w:id="1"/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Чугуевского муниципального округа</w:t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Приморского края</w:t>
      </w:r>
    </w:p>
    <w:p>
      <w:pPr>
        <w:pStyle w:val="Style40"/>
        <w:rPr/>
      </w:pPr>
      <w:r>
        <w:rPr/>
      </w:r>
    </w:p>
    <w:p>
      <w:pPr>
        <w:pStyle w:val="Style40"/>
        <w:rPr/>
      </w:pPr>
      <w:r>
        <w:rPr/>
      </w:r>
    </w:p>
    <w:p>
      <w:pPr>
        <w:pStyle w:val="Style40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b/>
          <w:b/>
        </w:rPr>
      </w:pPr>
      <w:r>
        <w:rPr>
          <w:b/>
        </w:rPr>
      </w:r>
      <w:r>
        <w:br w:type="page"/>
      </w:r>
    </w:p>
    <w:p>
      <w:pPr>
        <w:pStyle w:val="2"/>
        <w:numPr>
          <w:ilvl w:val="0"/>
          <w:numId w:val="0"/>
        </w:numPr>
        <w:spacing w:lineRule="auto" w:line="240"/>
        <w:ind w:left="284" w:hanging="0"/>
        <w:jc w:val="center"/>
        <w:rPr/>
      </w:pPr>
      <w:bookmarkStart w:id="2" w:name="_Toc107492587"/>
      <w:r>
        <w:rPr>
          <w:bCs w:val="false"/>
          <w:kern w:val="2"/>
        </w:rPr>
        <w:t>ТЕРМИНЫ И ОПРЕДЕЛЕНИЯ</w:t>
      </w:r>
      <w:bookmarkEnd w:id="2"/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 xml:space="preserve">В настоящем документе применяются следующие термины и определения: 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 xml:space="preserve"> </w:t>
      </w:r>
      <w:r>
        <w:rPr>
          <w:rStyle w:val="Blk"/>
        </w:rPr>
        <w:t>«схема водоснабжения»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централизованной системы холодного водоснабжения и направления ее развития;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 xml:space="preserve">«технологическая зона водоснабжения» - часть водопроводной сети, принадлежащей организации, осуществляющей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 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«эксплуатационная зона» - зона эксплуатационной ответственности организации, осуществляющей холодное водоснабжение, определенная по признаку обязанностей (ответственности) организации по эксплуатации централизованных систем водоснабжения;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«зона централизованного и нецентрализованного водоснабжения» - территории, на которых водоснабжение осуществляется с использованием централизованных и нецентрализованных систем холодного водоснабжения соответственно;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«абонент» - физическое либо юридическое лицо, заключившее или обязанное заключить договор холодного водоснабжения;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«водоподготовка» - обработка воды, обеспечивающая ее использование в качестве питьевой или технической воды;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 </w:t>
      </w:r>
      <w:r>
        <w:rPr>
          <w:rStyle w:val="Blk"/>
        </w:rPr>
        <w:t>«водоснабжение»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«водопроводная сеть»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«гарантирующая организация» - организация, осуществляющая холодное водоснабжение, определенная решением органа местного самоуправления поселения, которая обязана заключить договор холодного водоснабжения с любым обратившимся к ней лицом, чьи объекты подключены (технологически присоединены) к централизованной системе холодного водоснабжения;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«инвестиционная программа организации, осуществляющей холодное водоснабжение (далее также - инвестиционная программа)» - программа мероприятий по строительству, реконструкции и модернизации объектов централизованной системы холодного водоснабжения;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«качество и безопасность воды (далее - качество воды)» - совокупность показателей, характеризующих физические, химические, бактериологические, органолептические и другие свойства воды, в том числе ее температуру;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«коммерческий учет холодной воды (далее также - коммерческий учет)» - определение количества поданной (полученной) за определенный период воды с помощью средств измерений (далее - приборы учета) или расчетным способом;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«нецентрализованная система горячего водоснабжения»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«нецентрализованная система холодного водоснабжения»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«объект централизованной системы холодного водоснабжения» - инженерное сооружение, входящее в состав централизованной системы холодного водоснабжения, непосредственно используемое для холодного водоснабжения;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«организация, осуществляющая холодное водоснабжение (организация водопроводно-канализационного хозяйства)» - юридическое лицо, осуществляющее эксплуатацию централизованных систем холодного водоснабжения, отдельных объектов таких систем;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«орган регулирования тарифов в сфере водоснабжения (далее - орган регулирования тарифов)»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поселения, осуществляющий регулирование тарифов в сфере водоснабжения;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«питьевая вода» - вода, за исключением бутилированной питьевой воды, предназначенная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«предельные индексы изменения тарифов в сфере водоснабжения (далее - предельные индексы)» - индексы максимально и (или) минимально возможного изменения действующих тарифов на питьевую воду, устанавливаемые в среднем по субъектам Российской Федерации на год, если иное не установлено другими федеральными законами или решением Правительства Российской Федерации, и выраженные в процентах;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«приготовление горячей воды» - нагрев воды, а также при необходимости очистка, химическая подготовка и другие технологические процессы, осуществляемые с водой;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«производственная программа организации, осуществляющей холодное водоснабжение (далее - производственная программа)» - программа текущей (операционной) деятельности такой организации по осуществлению холодного водоснабжения, регулируемых видов деятельности в сфере водоснабжения;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«техническая вода»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«техническое обследование централизованных систем холодного водоснабжения» - оценка технических характеристик объектов централизованных систем холодного водоснабжения;</w:t>
      </w:r>
    </w:p>
    <w:p>
      <w:pPr>
        <w:pStyle w:val="Normal"/>
        <w:spacing w:before="0" w:after="120"/>
        <w:rPr>
          <w:rStyle w:val="Blk"/>
        </w:rPr>
      </w:pPr>
      <w:r>
        <w:rPr>
          <w:rStyle w:val="Blk"/>
        </w:rPr>
        <w:t>«транспортировка воды» - перемещение воды, осуществляемое с использованием водопроводных сетей;</w:t>
      </w:r>
    </w:p>
    <w:p>
      <w:pPr>
        <w:pStyle w:val="Normal"/>
        <w:spacing w:before="0" w:after="120"/>
        <w:rPr>
          <w:b/>
          <w:b/>
        </w:rPr>
      </w:pPr>
      <w:r>
        <w:rPr>
          <w:rStyle w:val="Blk"/>
        </w:rPr>
        <w:t>«централизованная система холодного водоснабжения»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3" w:name="_Toc107492588"/>
      <w:r>
        <w:rPr>
          <w:rFonts w:eastAsia="TimesNewRomanPS-BoldMT"/>
          <w:szCs w:val="24"/>
        </w:rPr>
        <w:t>ОБЩИЕ ПОЛОЖЕНИЯ</w:t>
      </w:r>
      <w:bookmarkEnd w:id="3"/>
    </w:p>
    <w:p>
      <w:pPr>
        <w:pStyle w:val="Normal"/>
        <w:rPr>
          <w:rStyle w:val="Blk"/>
          <w:b/>
          <w:b/>
          <w:i/>
          <w:i/>
          <w:szCs w:val="24"/>
        </w:rPr>
      </w:pPr>
      <w:r>
        <w:rPr>
          <w:rStyle w:val="Blk"/>
          <w:b/>
          <w:i/>
          <w:szCs w:val="24"/>
        </w:rPr>
        <w:t>Целью разработки Схемы водоснабжения является:</w:t>
      </w:r>
    </w:p>
    <w:p>
      <w:pPr>
        <w:pStyle w:val="ListParagraph"/>
        <w:numPr>
          <w:ilvl w:val="0"/>
          <w:numId w:val="17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Федерации; </w:t>
      </w:r>
    </w:p>
    <w:p>
      <w:pPr>
        <w:pStyle w:val="ListParagraph"/>
        <w:numPr>
          <w:ilvl w:val="0"/>
          <w:numId w:val="17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>
      <w:pPr>
        <w:pStyle w:val="ListParagraph"/>
        <w:numPr>
          <w:ilvl w:val="0"/>
          <w:numId w:val="17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внедрение энергосберегающих технологий и совершенствование технологий подготовки питьевой воды для достижения максимального комфорта потребителя. </w:t>
      </w:r>
    </w:p>
    <w:p>
      <w:pPr>
        <w:pStyle w:val="Normal"/>
        <w:rPr>
          <w:rStyle w:val="Blk"/>
          <w:b/>
          <w:b/>
          <w:i/>
          <w:i/>
          <w:szCs w:val="24"/>
        </w:rPr>
      </w:pPr>
      <w:r>
        <w:rPr>
          <w:rStyle w:val="Blk"/>
          <w:b/>
          <w:i/>
          <w:szCs w:val="24"/>
        </w:rPr>
        <w:t>Основные задачи разработки Схемы водоснабжения состоят в следующем:</w:t>
      </w:r>
    </w:p>
    <w:p>
      <w:pPr>
        <w:pStyle w:val="ListParagraph"/>
        <w:numPr>
          <w:ilvl w:val="0"/>
          <w:numId w:val="19"/>
        </w:numPr>
        <w:spacing w:lineRule="auto" w:line="276" w:before="0" w:after="120"/>
        <w:ind w:left="993" w:hanging="426"/>
        <w:contextualSpacing/>
        <w:jc w:val="both"/>
        <w:rPr>
          <w:sz w:val="24"/>
        </w:rPr>
      </w:pPr>
      <w:r>
        <w:rPr>
          <w:sz w:val="24"/>
        </w:rPr>
        <w:t xml:space="preserve">развитие системы муниципального регулирования в секторе водоснабжения, включая установление современных целевых показателей качества услуг, эффективности и надежности деятельности сектора; </w:t>
      </w:r>
    </w:p>
    <w:p>
      <w:pPr>
        <w:pStyle w:val="ListParagraph"/>
        <w:numPr>
          <w:ilvl w:val="0"/>
          <w:numId w:val="19"/>
        </w:numPr>
        <w:spacing w:lineRule="auto" w:line="276" w:before="0" w:after="120"/>
        <w:ind w:left="993" w:hanging="426"/>
        <w:contextualSpacing/>
        <w:jc w:val="both"/>
        <w:rPr>
          <w:sz w:val="24"/>
        </w:rPr>
      </w:pPr>
      <w:r>
        <w:rPr>
          <w:sz w:val="24"/>
        </w:rPr>
        <w:t>модернизация систем водоснабжения посредством подготовки и участия в муниципальных и региональных программах  Приморского края, направленных на развитие и повышение качества услуг данной отрасли.</w:t>
      </w:r>
    </w:p>
    <w:p>
      <w:pPr>
        <w:pStyle w:val="Normal"/>
        <w:rPr>
          <w:szCs w:val="24"/>
        </w:rPr>
      </w:pPr>
      <w:r>
        <w:rPr>
          <w:szCs w:val="24"/>
        </w:rPr>
        <w:t xml:space="preserve">Схема водоснабжения Чугуевского муниципального округа Приморского края разработана в соответствии со следующими документами: </w:t>
      </w:r>
    </w:p>
    <w:p>
      <w:pPr>
        <w:pStyle w:val="ListParagraph"/>
        <w:numPr>
          <w:ilvl w:val="0"/>
          <w:numId w:val="18"/>
        </w:numPr>
        <w:spacing w:lineRule="auto" w:line="276" w:before="0" w:after="120"/>
        <w:ind w:left="924" w:hanging="357"/>
        <w:contextualSpacing w:val="false"/>
        <w:jc w:val="both"/>
        <w:rPr>
          <w:sz w:val="24"/>
        </w:rPr>
      </w:pPr>
      <w:r>
        <w:rPr>
          <w:sz w:val="24"/>
        </w:rPr>
        <w:t>Документы территориального планирования, включающие в себя.</w:t>
      </w:r>
    </w:p>
    <w:p>
      <w:pPr>
        <w:pStyle w:val="ListParagraph"/>
        <w:numPr>
          <w:ilvl w:val="0"/>
          <w:numId w:val="18"/>
        </w:numPr>
        <w:spacing w:lineRule="auto" w:line="276" w:before="0" w:after="120"/>
        <w:ind w:left="924" w:hanging="357"/>
        <w:contextualSpacing w:val="false"/>
        <w:jc w:val="both"/>
        <w:rPr>
          <w:sz w:val="24"/>
        </w:rPr>
      </w:pPr>
      <w:r>
        <w:rPr>
          <w:sz w:val="24"/>
        </w:rPr>
        <w:t>Нормативы градостроительного проектирования.</w:t>
      </w:r>
    </w:p>
    <w:p>
      <w:pPr>
        <w:pStyle w:val="ListParagraph"/>
        <w:numPr>
          <w:ilvl w:val="0"/>
          <w:numId w:val="18"/>
        </w:numPr>
        <w:spacing w:lineRule="auto" w:line="276" w:before="0" w:after="120"/>
        <w:contextualSpacing w:val="false"/>
        <w:jc w:val="both"/>
        <w:rPr>
          <w:sz w:val="24"/>
        </w:rPr>
      </w:pPr>
      <w:r>
        <w:rPr>
          <w:sz w:val="24"/>
        </w:rPr>
        <w:t>Инвестиционные программы комплексного развития.</w:t>
      </w:r>
    </w:p>
    <w:p>
      <w:pPr>
        <w:pStyle w:val="ListParagraph"/>
        <w:numPr>
          <w:ilvl w:val="0"/>
          <w:numId w:val="18"/>
        </w:numPr>
        <w:spacing w:lineRule="auto" w:line="276" w:before="0" w:after="120"/>
        <w:contextualSpacing w:val="false"/>
        <w:jc w:val="both"/>
        <w:rPr>
          <w:sz w:val="24"/>
        </w:rPr>
      </w:pPr>
      <w:r>
        <w:rPr>
          <w:sz w:val="24"/>
        </w:rPr>
        <w:t>Иные документы и материалы, подлежащие к учету:</w:t>
      </w:r>
    </w:p>
    <w:p>
      <w:pPr>
        <w:pStyle w:val="ListParagraph"/>
        <w:numPr>
          <w:ilvl w:val="0"/>
          <w:numId w:val="18"/>
        </w:numPr>
        <w:spacing w:lineRule="auto" w:line="276" w:before="0" w:after="12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Документы (требования) законодательства Российской Федерации, включающие в себя: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992" w:hanging="357"/>
        <w:contextualSpacing w:val="false"/>
        <w:jc w:val="both"/>
        <w:rPr>
          <w:sz w:val="24"/>
        </w:rPr>
      </w:pPr>
      <w:r>
        <w:rPr>
          <w:sz w:val="24"/>
        </w:rPr>
        <w:t>Градостроительный кодекс РФ от 29.12.2004 № 190-ФЗ (ред. от 25.12.2018);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992" w:hanging="357"/>
        <w:contextualSpacing w:val="false"/>
        <w:jc w:val="both"/>
        <w:rPr>
          <w:sz w:val="24"/>
        </w:rPr>
      </w:pPr>
      <w:r>
        <w:rPr>
          <w:sz w:val="24"/>
        </w:rPr>
        <w:t>СП 32.13330.2018 «Канализация. Наружные сети и сооружения;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992" w:hanging="357"/>
        <w:contextualSpacing w:val="false"/>
        <w:jc w:val="both"/>
        <w:rPr>
          <w:sz w:val="24"/>
        </w:rPr>
      </w:pPr>
      <w:r>
        <w:rPr>
          <w:sz w:val="24"/>
        </w:rPr>
        <w:t>СНиП 2.04.02-84* «Водоснабжение. Наружные сети и сооружения»;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992" w:hanging="357"/>
        <w:contextualSpacing w:val="false"/>
        <w:jc w:val="both"/>
        <w:rPr>
          <w:sz w:val="24"/>
        </w:rPr>
      </w:pPr>
      <w:r>
        <w:rPr>
          <w:sz w:val="24"/>
        </w:rPr>
        <w:t>СП 31.13330.2012 «Водоснабжение. Наружные сети и сооружения. Актуализированная редакция СНиП 2.04.02-84 «Водоснабжение. Наружные сети и сооружения»;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993" w:hanging="360"/>
        <w:contextualSpacing w:val="false"/>
        <w:jc w:val="both"/>
        <w:rPr>
          <w:sz w:val="24"/>
        </w:rPr>
      </w:pPr>
      <w:r>
        <w:rPr>
          <w:sz w:val="24"/>
        </w:rPr>
        <w:t>СП 30.13330.2020 «Внутренний водопровод и канализация зданий;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993" w:hanging="360"/>
        <w:contextualSpacing w:val="false"/>
        <w:jc w:val="both"/>
        <w:rPr>
          <w:sz w:val="24"/>
        </w:rPr>
      </w:pPr>
      <w:r>
        <w:rPr>
          <w:sz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мероприятий;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992" w:hanging="357"/>
        <w:contextualSpacing w:val="false"/>
        <w:jc w:val="both"/>
        <w:rPr>
          <w:sz w:val="24"/>
        </w:rPr>
      </w:pPr>
      <w:r>
        <w:rPr>
          <w:sz w:val="24"/>
        </w:rPr>
        <w:t xml:space="preserve">Федеральный закон от 7.12.2011 № 416-ФЗ </w:t>
      </w:r>
      <w:r>
        <w:rPr>
          <w:sz w:val="24"/>
          <w:shd w:fill="FFFFFF" w:val="clear"/>
        </w:rPr>
        <w:t>(ред. от 25.12.2018)</w:t>
      </w:r>
      <w:r>
        <w:rPr>
          <w:sz w:val="24"/>
        </w:rPr>
        <w:t xml:space="preserve"> «О водоснабжении и водоотведении»;</w:t>
      </w:r>
    </w:p>
    <w:p>
      <w:pPr>
        <w:pStyle w:val="ListParagraph"/>
        <w:numPr>
          <w:ilvl w:val="0"/>
          <w:numId w:val="20"/>
        </w:numPr>
        <w:spacing w:lineRule="auto" w:line="276" w:before="0" w:after="120"/>
        <w:ind w:left="993" w:hanging="360"/>
        <w:contextualSpacing w:val="false"/>
        <w:jc w:val="both"/>
        <w:rPr>
          <w:sz w:val="24"/>
        </w:rPr>
      </w:pPr>
      <w:r>
        <w:rPr>
          <w:sz w:val="24"/>
        </w:rPr>
        <w:t>Правила разработки и утверждения схем водоснабжения и водоотведения. Требования к содержанию схем водоснабжения и водоотведения, утвержденные постановлением Правительства Российской Федерации от 5 сентября 2013 г. № 782 (с изменениями на 22 мая 2020 года).</w:t>
      </w:r>
    </w:p>
    <w:p>
      <w:pPr>
        <w:pStyle w:val="Normal"/>
        <w:rPr>
          <w:szCs w:val="24"/>
        </w:rPr>
      </w:pPr>
      <w:r>
        <w:rPr>
          <w:szCs w:val="24"/>
        </w:rPr>
        <w:t>Схема водоснабжения определяет основные направления развития централизованных систем водоснабжения населенных пунктов Чугуевского муниципального округа, необходимые для реализации документов территориального планирования, документов по планировке территорий на расчетный срок их освоения, а также документов социально-экономического планирования и стратегического прогнозирования.</w:t>
      </w:r>
    </w:p>
    <w:p>
      <w:pPr>
        <w:pStyle w:val="Normal"/>
        <w:rPr>
          <w:szCs w:val="24"/>
        </w:rPr>
      </w:pPr>
      <w:r>
        <w:rPr>
          <w:szCs w:val="24"/>
        </w:rPr>
        <w:t>В соответствии с требованиями Технического задания на выполнение работ по разработке схем водоснабжения и водоотведения Чугуевского муниципального округа определен срок реализации Схемы водоснабжения – не менее 10 лет, но не более действия генерального плана.</w:t>
      </w:r>
    </w:p>
    <w:p>
      <w:pPr>
        <w:pStyle w:val="Normal"/>
        <w:rPr>
          <w:szCs w:val="24"/>
        </w:rPr>
      </w:pPr>
      <w:r>
        <w:rPr>
          <w:szCs w:val="24"/>
        </w:rPr>
        <w:t>Ключевые демографические показатели в области численности населения Чугуевского муниципального округа представлены в таблице 1.1.1.</w:t>
      </w:r>
    </w:p>
    <w:p>
      <w:pPr>
        <w:pStyle w:val="Normal"/>
        <w:keepNext w:val="true"/>
        <w:ind w:left="567" w:hanging="0"/>
        <w:jc w:val="right"/>
        <w:rPr>
          <w:szCs w:val="24"/>
        </w:rPr>
      </w:pPr>
      <w:bookmarkStart w:id="4" w:name="_Ref382328750"/>
      <w:r>
        <w:rPr>
          <w:szCs w:val="24"/>
        </w:rPr>
        <w:t xml:space="preserve">Таблица </w:t>
      </w:r>
      <w:bookmarkEnd w:id="4"/>
      <w:r>
        <w:rPr>
          <w:szCs w:val="24"/>
        </w:rPr>
        <w:t>1.1.1</w:t>
      </w:r>
    </w:p>
    <w:p>
      <w:pPr>
        <w:pStyle w:val="Normal"/>
        <w:keepNext w:val="true"/>
        <w:ind w:hanging="0"/>
        <w:jc w:val="center"/>
        <w:rPr>
          <w:szCs w:val="24"/>
          <w:u w:val="single"/>
        </w:rPr>
      </w:pPr>
      <w:r>
        <w:rPr>
          <w:szCs w:val="24"/>
          <w:u w:val="single"/>
        </w:rPr>
        <w:t>Показатели численности населения на период разработки (2021 г.) и на расчетный срок его реализации (2021-2032 г.)</w:t>
      </w:r>
    </w:p>
    <w:tbl>
      <w:tblPr>
        <w:tblW w:w="48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80"/>
        <w:gridCol w:w="2587"/>
        <w:gridCol w:w="4029"/>
      </w:tblGrid>
      <w:tr>
        <w:trPr>
          <w:tblHeader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Численность постоянного населения на 01.01.2021 г.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Прогнозируемая численность населения на Расчетный срок 2032 г.</w:t>
            </w:r>
          </w:p>
        </w:tc>
      </w:tr>
      <w:tr>
        <w:trPr>
          <w:trHeight w:val="796" w:hRule="atLeast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Чугуевский муниципальный округ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120" w:after="120"/>
        <w:rPr>
          <w:rStyle w:val="Blk"/>
        </w:rPr>
      </w:pPr>
      <w:r>
        <w:rPr>
          <w:rStyle w:val="Blk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федерального, областного, местного бюджетов и внебюджетных источников.</w:t>
      </w:r>
    </w:p>
    <w:p>
      <w:pPr>
        <w:pStyle w:val="Normal"/>
        <w:rPr>
          <w:rStyle w:val="Blk"/>
        </w:rPr>
      </w:pPr>
      <w:r>
        <w:rPr>
          <w:rStyle w:val="Blk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>
      <w:pPr>
        <w:pStyle w:val="Normal"/>
        <w:spacing w:lineRule="auto" w:line="240" w:before="0" w:after="0"/>
        <w:ind w:hanging="0"/>
        <w:jc w:val="left"/>
        <w:rPr>
          <w:rFonts w:eastAsia="TimesNewRomanPS-BoldMT"/>
          <w:b/>
          <w:b/>
          <w:bCs/>
          <w:szCs w:val="26"/>
        </w:rPr>
      </w:pPr>
      <w:r>
        <w:rPr>
          <w:rFonts w:eastAsia="TimesNewRomanPS-BoldMT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5" w:name="_Toc107492589"/>
      <w:r>
        <w:rPr>
          <w:rFonts w:eastAsia="TimesNewRomanPS-BoldMT"/>
        </w:rPr>
        <w:t>ОБЩИЕ СВЕДЕНИЯ</w:t>
      </w:r>
      <w:bookmarkEnd w:id="5"/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Административный центр — село Чугуевка.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1 января 2020 года Чугуевский муниципальный район преобразован в Чугуевский муниципальный округ.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В муниципальный район входило 3 муниципальных образования со статусом сельских поселений:</w:t>
      </w:r>
    </w:p>
    <w:p>
      <w:pPr>
        <w:pStyle w:val="ListParagraph"/>
        <w:numPr>
          <w:ilvl w:val="0"/>
          <w:numId w:val="38"/>
        </w:numPr>
        <w:spacing w:before="0" w:after="120"/>
        <w:contextualSpacing/>
        <w:rPr>
          <w:sz w:val="24"/>
        </w:rPr>
      </w:pPr>
      <w:r>
        <w:rPr>
          <w:sz w:val="24"/>
        </w:rPr>
        <w:t>Кокшаровское сельское поселение;</w:t>
      </w:r>
    </w:p>
    <w:p>
      <w:pPr>
        <w:pStyle w:val="ListParagraph"/>
        <w:numPr>
          <w:ilvl w:val="0"/>
          <w:numId w:val="38"/>
        </w:numPr>
        <w:spacing w:before="0" w:after="120"/>
        <w:contextualSpacing/>
        <w:rPr>
          <w:sz w:val="24"/>
        </w:rPr>
      </w:pPr>
      <w:r>
        <w:rPr>
          <w:sz w:val="24"/>
        </w:rPr>
        <w:t>Чугуевское сельское поселение;</w:t>
      </w:r>
    </w:p>
    <w:p>
      <w:pPr>
        <w:pStyle w:val="ListParagraph"/>
        <w:numPr>
          <w:ilvl w:val="0"/>
          <w:numId w:val="38"/>
        </w:numPr>
        <w:spacing w:before="0" w:after="120"/>
        <w:contextualSpacing/>
        <w:rPr>
          <w:sz w:val="24"/>
        </w:rPr>
      </w:pPr>
      <w:r>
        <w:rPr>
          <w:sz w:val="24"/>
        </w:rPr>
        <w:t>Шумненское сельское поселение.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В Чугуевском муниципальном округе 32 населённых пункта (все — сельские с категорией села). Населённые пункты (села): Антоновка, Архиповка, Берёзовка, Булыга-Фадеево, Варпаховка, Верхняя Бреевка, Заветное, Заметное, Извилинка, Изюбриный, Каменка, Кокшаровка, Ленино, Лесогорье, Медвежий Кут, Михайловка, Нижние Лужки, Новомихайловка, Новочугуевка, Окраинка, Павловка, Полыниха, Пшеницыно, Самарка, Саратовка, Соколовка, Тополёвый, Уборка, Цветковка, Чугуевка, Шумный, Ясное.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Чугуевский муниципальный округ Приморского края расположен в центре региона. Площадь территории составляет 12 346 км².</w:t>
      </w:r>
      <w:r>
        <w:rPr/>
        <w:t xml:space="preserve"> </w:t>
      </w:r>
      <w:r>
        <w:rPr>
          <w:szCs w:val="24"/>
        </w:rPr>
        <w:t>Граничит с Кавалеровским, Дальнегорским, Ольгинским, Партизанским, Анучинским, Яковлевским, Кировским и Лазовским районами.</w:t>
      </w:r>
    </w:p>
    <w:p>
      <w:pPr>
        <w:pStyle w:val="Normal"/>
        <w:spacing w:before="0" w:after="120"/>
        <w:rPr>
          <w:szCs w:val="24"/>
          <w:highlight w:val="yellow"/>
        </w:rPr>
      </w:pPr>
      <w:r>
        <w:rPr>
          <w:szCs w:val="24"/>
        </w:rPr>
        <w:t>Через Чугуевский муниципальный округ с юга на север протягивается долина верхнего течения р. Уссури. С востока к ней примыкают долины крупных притоков — Павловки и Журавлёвки. Ширина долины Уссури достигает 5 км, притоков — не более 3 км. Вся остальная территория за пределами крупных долин представляет собой пересечённую местность, покрытую широколиственными, смешанными и хвойными лесами. На высотах более 1600 м распространены горные тундры. В целом, высота гор возрастает с северо-запада на юго-восток округа. Высшая точка Чугуевского муниципального округа, гора Облачная, находится на юго-востоке, вблизи главного водораздела Сихотэ-Алиня. Её высота составляет 1 854,6 м — это вторая по высоте вершина в Приморском крае. Самая низкая точка района — урез реки Уссури на уровне 133 м.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Численность населения на 01.01.2021 года составляет 21857 человек.</w:t>
      </w:r>
    </w:p>
    <w:p>
      <w:pPr>
        <w:pStyle w:val="Normal"/>
        <w:spacing w:before="0" w:after="120"/>
        <w:rPr>
          <w:szCs w:val="24"/>
          <w:highlight w:val="yellow"/>
        </w:rPr>
      </w:pPr>
      <w:r>
        <w:rPr>
          <w:szCs w:val="24"/>
        </w:rPr>
        <w:t>Основные виды экономической деятельности - сельское хозяйство, деревопереработка.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rFonts w:eastAsia="Times New Roman"/>
          <w:b/>
          <w:b/>
          <w:bCs/>
          <w:szCs w:val="26"/>
        </w:rPr>
      </w:pPr>
      <w:r>
        <w:rPr>
          <w:rFonts w:eastAsia="Times New Roman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6" w:name="_Toc107492590"/>
      <w:r>
        <w:rPr/>
        <w:t>ТЕХНИКО-ЭКОНОМИЧЕСКОЕ СОСТОЯНИЕ ЦЕНТРАЛИЗОВАННЫХ СИСТЕМ ВОДОСНАБЖЕНИЯ</w:t>
      </w:r>
      <w:bookmarkEnd w:id="6"/>
    </w:p>
    <w:p>
      <w:pPr>
        <w:pStyle w:val="2"/>
        <w:numPr>
          <w:ilvl w:val="2"/>
          <w:numId w:val="39"/>
        </w:numPr>
        <w:rPr/>
      </w:pPr>
      <w:bookmarkStart w:id="7" w:name="_Toc107492591"/>
      <w:r>
        <w:rPr/>
        <w:t>Описание системы и структуры водоснабжения муниципального округа и деление территории на эксплуатационные зоны</w:t>
      </w:r>
      <w:bookmarkEnd w:id="7"/>
    </w:p>
    <w:p>
      <w:pPr>
        <w:pStyle w:val="Normal"/>
        <w:spacing w:before="0" w:after="120"/>
        <w:rPr/>
      </w:pPr>
      <w:r>
        <w:rPr/>
        <w:t xml:space="preserve">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хозяйственно-питьевого водоснабжения. </w:t>
      </w:r>
    </w:p>
    <w:p>
      <w:pPr>
        <w:pStyle w:val="Normal"/>
        <w:spacing w:before="0" w:after="1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Источником хозяйственно-питьевого водоснабжения Чугуевского муниципального округа являются подземные воды (артезианские скважины и колодцы). В с. Чугуевка, с. Новочугуевка, с. Каменки имеется централизованная система водоснабжения.</w:t>
      </w:r>
    </w:p>
    <w:p>
      <w:pPr>
        <w:pStyle w:val="Normal"/>
        <w:spacing w:before="0" w:after="1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Водоснабжение с. Чугуевка осуществляется от скважин насосами I подъема по ниткам водовода общей протяженностью </w:t>
      </w:r>
      <w:r>
        <w:rPr/>
        <w:t>24,8</w:t>
      </w:r>
      <w:r>
        <w:rPr>
          <w:rFonts w:eastAsia="Times New Roman"/>
          <w:szCs w:val="24"/>
          <w:lang w:eastAsia="ru-RU"/>
        </w:rPr>
        <w:t xml:space="preserve"> км поступает в разводящие сети населенных пунктов. В качестве регулирующей емкости используется накопительный бак (водобашня). </w:t>
      </w:r>
    </w:p>
    <w:p>
      <w:pPr>
        <w:pStyle w:val="Normal"/>
        <w:spacing w:before="0" w:after="120"/>
        <w:rPr>
          <w:spacing w:val="-2"/>
          <w:szCs w:val="24"/>
        </w:rPr>
      </w:pPr>
      <w:r>
        <w:rPr>
          <w:rFonts w:eastAsia="Times New Roman"/>
          <w:szCs w:val="24"/>
          <w:lang w:eastAsia="ru-RU"/>
        </w:rPr>
        <w:t>В остальных населенных пунктах муниципального округа централизованное водоснабжение отсутствует, жители пользуются водой из шахтных колодцев и индивидуальных скважин.</w:t>
      </w:r>
    </w:p>
    <w:p>
      <w:pPr>
        <w:pStyle w:val="Normal"/>
        <w:spacing w:before="0" w:after="1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 территории муниципального образования действует система централизованного водоснабжения - в с. Чугуевка, с. Новочугуевка, с. Каменки,</w:t>
      </w:r>
      <w:r>
        <w:rPr/>
        <w:t xml:space="preserve"> </w:t>
      </w:r>
      <w:r>
        <w:rPr>
          <w:rFonts w:eastAsia="Times New Roman"/>
          <w:szCs w:val="24"/>
          <w:lang w:eastAsia="ru-RU"/>
        </w:rPr>
        <w:t>с. Цветковка. Эксплуатирующие организация: ООО «Водолей»</w:t>
      </w:r>
      <w:r>
        <w:rPr/>
        <w:t>.</w:t>
      </w:r>
      <w:r>
        <w:rPr>
          <w:rFonts w:eastAsia="Times New Roman"/>
          <w:szCs w:val="24"/>
          <w:lang w:eastAsia="ru-RU"/>
        </w:rPr>
        <w:t xml:space="preserve"> </w:t>
      </w:r>
    </w:p>
    <w:p>
      <w:pPr>
        <w:pStyle w:val="Normal"/>
        <w:keepNext w:val="true"/>
        <w:jc w:val="right"/>
        <w:rPr/>
      </w:pPr>
      <w:r>
        <w:rPr/>
        <w:t>Таблица 1.3.1</w:t>
      </w:r>
    </w:p>
    <w:tbl>
      <w:tblPr>
        <w:tblW w:w="4850" w:type="pct"/>
        <w:jc w:val="left"/>
        <w:tblInd w:w="58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 w:noHBand="0" w:noVBand="0" w:firstColumn="0" w:lastRow="0" w:lastColumn="0" w:firstRow="0"/>
      </w:tblPr>
      <w:tblGrid>
        <w:gridCol w:w="2059"/>
        <w:gridCol w:w="2382"/>
        <w:gridCol w:w="2382"/>
        <w:gridCol w:w="3074"/>
      </w:tblGrid>
      <w:tr>
        <w:trPr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Наименование ВЗУ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Населенный пункт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Эксплуатирующая организация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Организация собственник</w:t>
            </w:r>
          </w:p>
        </w:tc>
      </w:tr>
      <w:tr>
        <w:trPr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Арт.скв.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Чугуевка, с. Новочугуевка, с. Каменки,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с. Цветковка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ООО «Водолей»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>
                <w:szCs w:val="24"/>
              </w:rPr>
              <w:t>Администрация Чугуевского муниципального округа</w:t>
            </w:r>
          </w:p>
        </w:tc>
      </w:tr>
    </w:tbl>
    <w:p>
      <w:pPr>
        <w:pStyle w:val="Normal"/>
        <w:spacing w:before="0" w:after="1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rPr/>
      </w:pPr>
      <w:r>
        <w:rPr/>
        <w:t>В таблице 1.3.2 представлены эксплуатационные зоны Чугуевского муниципального округа.</w:t>
      </w:r>
    </w:p>
    <w:p>
      <w:pPr>
        <w:pStyle w:val="Normal"/>
        <w:keepNext w:val="true"/>
        <w:jc w:val="right"/>
        <w:rPr/>
      </w:pPr>
      <w:r>
        <w:rPr/>
        <w:t>Таблица 1.3.2</w:t>
      </w:r>
    </w:p>
    <w:tbl>
      <w:tblPr>
        <w:tblW w:w="10065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3968"/>
        <w:gridCol w:w="3687"/>
        <w:gridCol w:w="2410"/>
      </w:tblGrid>
      <w:tr>
        <w:trPr>
          <w:tblHeader w:val="true"/>
          <w:trHeight w:val="244" w:hRule="atLeast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Эксплуатирующая организация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Зоны эксплуатационной ответственности (населенные пункты)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абонентов</w:t>
            </w:r>
          </w:p>
        </w:tc>
      </w:tr>
      <w:tr>
        <w:trPr>
          <w:trHeight w:val="49" w:hRule="atLeast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ООО «Водолей»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с. Новочугуевка, ул. Вокзальная, 1а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242</w:t>
            </w:r>
          </w:p>
        </w:tc>
      </w:tr>
      <w:tr>
        <w:trPr>
          <w:trHeight w:val="49" w:hRule="atLeast"/>
        </w:trPr>
        <w:tc>
          <w:tcPr>
            <w:tcW w:w="3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с. Чугуевка, ул. Рабочая, 10а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2338</w:t>
            </w:r>
          </w:p>
        </w:tc>
      </w:tr>
      <w:tr>
        <w:trPr>
          <w:trHeight w:val="49" w:hRule="atLeast"/>
        </w:trPr>
        <w:tc>
          <w:tcPr>
            <w:tcW w:w="3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с. Чугуевка, ул. Лесная, 55а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745</w:t>
            </w:r>
          </w:p>
        </w:tc>
      </w:tr>
      <w:tr>
        <w:trPr>
          <w:trHeight w:val="49" w:hRule="atLeast"/>
        </w:trPr>
        <w:tc>
          <w:tcPr>
            <w:tcW w:w="3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с. Чугуевка, ул. Титова, 60а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1201</w:t>
            </w:r>
          </w:p>
        </w:tc>
      </w:tr>
      <w:tr>
        <w:trPr>
          <w:trHeight w:val="49" w:hRule="atLeast"/>
        </w:trPr>
        <w:tc>
          <w:tcPr>
            <w:tcW w:w="3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с. Чугуевка, ул. Дзержинского, 1,2,3,5,7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251</w:t>
            </w:r>
          </w:p>
        </w:tc>
      </w:tr>
      <w:tr>
        <w:trPr>
          <w:trHeight w:val="49" w:hRule="atLeast"/>
        </w:trPr>
        <w:tc>
          <w:tcPr>
            <w:tcW w:w="3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с. Цветковка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72</w:t>
            </w:r>
          </w:p>
        </w:tc>
      </w:tr>
      <w:tr>
        <w:trPr>
          <w:trHeight w:val="49" w:hRule="atLeast"/>
        </w:trPr>
        <w:tc>
          <w:tcPr>
            <w:tcW w:w="3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с. Каменка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13</w:t>
            </w:r>
          </w:p>
        </w:tc>
      </w:tr>
      <w:tr>
        <w:trPr>
          <w:trHeight w:val="49" w:hRule="atLeast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4862</w:t>
            </w:r>
          </w:p>
        </w:tc>
      </w:tr>
    </w:tbl>
    <w:p>
      <w:pPr>
        <w:pStyle w:val="Normal"/>
        <w:spacing w:before="0" w:after="120"/>
        <w:rPr/>
      </w:pPr>
      <w:r>
        <w:rPr/>
      </w:r>
    </w:p>
    <w:p>
      <w:pPr>
        <w:pStyle w:val="2"/>
        <w:numPr>
          <w:ilvl w:val="2"/>
          <w:numId w:val="40"/>
        </w:numPr>
        <w:spacing w:lineRule="auto" w:line="240"/>
        <w:rPr/>
      </w:pPr>
      <w:bookmarkStart w:id="8" w:name="_Toc107492592"/>
      <w:r>
        <w:rPr/>
        <w:t>Описание территорий муниципального образования, не охваченных централизованными системами водоснабжения</w:t>
      </w:r>
      <w:bookmarkEnd w:id="8"/>
    </w:p>
    <w:p>
      <w:pPr>
        <w:pStyle w:val="Style42"/>
        <w:spacing w:lineRule="auto" w:line="276" w:before="0" w:after="2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85176908"/>
      <w:r>
        <w:rPr>
          <w:rFonts w:cs="Times New Roman" w:ascii="Times New Roman" w:hAnsi="Times New Roman"/>
          <w:color w:val="auto"/>
          <w:sz w:val="24"/>
          <w:szCs w:val="24"/>
        </w:rPr>
        <w:t>На данный момент, централизованное водоснабжение организовано в с. Чугуевка, с. Новочугуевка, с. Каменки, с. Цветковка. На территориях, не охваченных централизованными системами водоснабжения, используются шахтные колодцы, поверхностные источники водоснабжения</w:t>
      </w:r>
      <w:r>
        <w:rPr>
          <w:rFonts w:cs="Times New Roman" w:ascii="Times New Roman" w:hAnsi="Times New Roman"/>
          <w:sz w:val="24"/>
          <w:szCs w:val="24"/>
        </w:rPr>
        <w:t>.</w:t>
      </w:r>
      <w:bookmarkEnd w:id="9"/>
    </w:p>
    <w:p>
      <w:pPr>
        <w:pStyle w:val="2"/>
        <w:numPr>
          <w:ilvl w:val="2"/>
          <w:numId w:val="41"/>
        </w:numPr>
        <w:spacing w:lineRule="auto" w:line="240"/>
        <w:rPr/>
      </w:pPr>
      <w:bookmarkStart w:id="10" w:name="_Toc107492593"/>
      <w:r>
        <w:rPr/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0"/>
    </w:p>
    <w:p>
      <w:pPr>
        <w:pStyle w:val="Normal"/>
        <w:rPr/>
      </w:pPr>
      <w:r>
        <w:rPr/>
        <w:t>Муниципальное образование имеет 1 эксплуатационную зону централизованного холодного водоснабжения:</w:t>
      </w:r>
    </w:p>
    <w:p>
      <w:pPr>
        <w:pStyle w:val="ListParagraph"/>
        <w:numPr>
          <w:ilvl w:val="0"/>
          <w:numId w:val="25"/>
        </w:numPr>
        <w:spacing w:before="0" w:after="120"/>
        <w:contextualSpacing/>
        <w:rPr>
          <w:sz w:val="24"/>
        </w:rPr>
      </w:pPr>
      <w:r>
        <w:rPr>
          <w:spacing w:val="-2"/>
          <w:sz w:val="24"/>
        </w:rPr>
        <w:t>с. Чугуевка, с. Новочугуевка, с. Каменки, с. Цветковка</w:t>
      </w:r>
      <w:r>
        <w:rPr>
          <w:sz w:val="24"/>
        </w:rPr>
        <w:t xml:space="preserve"> - Эксплуатирующая организация ООО «Водолей».</w:t>
      </w:r>
    </w:p>
    <w:p>
      <w:pPr>
        <w:pStyle w:val="Normal"/>
        <w:spacing w:before="0" w:after="120"/>
        <w:rPr/>
      </w:pPr>
      <w:r>
        <w:rPr>
          <w:szCs w:val="24"/>
        </w:rPr>
        <w:t xml:space="preserve">Эксплуатационная зона – система централизованного водоснабжения </w:t>
      </w:r>
      <w:r>
        <w:rPr>
          <w:spacing w:val="-2"/>
          <w:szCs w:val="24"/>
        </w:rPr>
        <w:t>с. Чугуевка, с. Новочугуевка, с. Каменки, с. Цветковка</w:t>
      </w:r>
      <w:r>
        <w:rPr>
          <w:szCs w:val="24"/>
        </w:rPr>
        <w:t xml:space="preserve">.  Система состоит из водопроводной сети общей протяженностью </w:t>
      </w:r>
      <w:r>
        <w:rPr/>
        <w:t>24,8</w:t>
      </w:r>
      <w:r>
        <w:rPr>
          <w:szCs w:val="24"/>
        </w:rPr>
        <w:t xml:space="preserve"> км. Водоснабжение осуществляется от артезианских скважин. Вода по магистральной сети водоснабжения доставляется </w:t>
      </w:r>
      <w:r>
        <w:rPr/>
        <w:t>потребителям. Имеется накопительные баки (водобашня).</w:t>
      </w:r>
    </w:p>
    <w:p>
      <w:pPr>
        <w:pStyle w:val="Normal"/>
        <w:rPr/>
      </w:pPr>
      <w:r>
        <w:rPr/>
        <w:t>Горячего водоснабжения на территории Чугуевского муниципального округа нет.</w:t>
      </w:r>
    </w:p>
    <w:p>
      <w:pPr>
        <w:pStyle w:val="2"/>
        <w:numPr>
          <w:ilvl w:val="2"/>
          <w:numId w:val="42"/>
        </w:numPr>
        <w:spacing w:lineRule="auto" w:line="240"/>
        <w:rPr/>
      </w:pPr>
      <w:bookmarkStart w:id="11" w:name="_Toc107492594"/>
      <w:r>
        <w:rPr/>
        <w:t>Описание результатов технического обследования централизованных систем водоснабжения</w:t>
      </w:r>
      <w:bookmarkEnd w:id="11"/>
    </w:p>
    <w:p>
      <w:pPr>
        <w:pStyle w:val="2"/>
        <w:numPr>
          <w:ilvl w:val="3"/>
          <w:numId w:val="43"/>
        </w:numPr>
        <w:tabs>
          <w:tab w:val="clear" w:pos="709"/>
          <w:tab w:val="left" w:pos="1560" w:leader="none"/>
        </w:tabs>
        <w:spacing w:lineRule="auto" w:line="240"/>
        <w:rPr/>
      </w:pPr>
      <w:bookmarkStart w:id="12" w:name="_Toc107492595"/>
      <w:r>
        <w:rPr/>
        <w:t>Описание состояния существующих источников водоснабжения и водозаборных сооружений</w:t>
      </w:r>
      <w:bookmarkEnd w:id="12"/>
    </w:p>
    <w:p>
      <w:pPr>
        <w:pStyle w:val="Normal"/>
        <w:rPr/>
      </w:pPr>
      <w:r>
        <w:rPr>
          <w:szCs w:val="24"/>
        </w:rPr>
        <w:t>Характеристика водозаборов, используемых в качестве источников централизованного водоснабжения Чугуевского муниципального округа, о</w:t>
      </w:r>
      <w:r>
        <w:rPr/>
        <w:t>сновные данные по существующим водозаборным узлам, их месторасположение и характеристика представлены в таблице 1.3.3.</w:t>
      </w:r>
    </w:p>
    <w:p>
      <w:pPr>
        <w:pStyle w:val="Normal"/>
        <w:jc w:val="right"/>
        <w:rPr/>
      </w:pPr>
      <w:r>
        <w:rPr/>
        <w:t>Таблица 1.3.3</w:t>
      </w:r>
    </w:p>
    <w:tbl>
      <w:tblPr>
        <w:tblW w:w="4950" w:type="pct"/>
        <w:jc w:val="left"/>
        <w:tblInd w:w="58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 w:noHBand="0" w:noVBand="0" w:firstColumn="0" w:lastRow="0" w:lastColumn="0" w:firstRow="0"/>
      </w:tblPr>
      <w:tblGrid>
        <w:gridCol w:w="1648"/>
        <w:gridCol w:w="727"/>
        <w:gridCol w:w="633"/>
        <w:gridCol w:w="767"/>
        <w:gridCol w:w="1976"/>
        <w:gridCol w:w="1055"/>
        <w:gridCol w:w="1055"/>
        <w:gridCol w:w="1186"/>
        <w:gridCol w:w="1054"/>
      </w:tblGrid>
      <w:tr>
        <w:trPr>
          <w:tblHeader w:val="true"/>
          <w:cantSplit w:val="true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Наименование ВЗУ и его местоположение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Глубина, м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Год</w:t>
            </w:r>
          </w:p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бурения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Мощность водозабора, м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/сут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Состав сооружений установленного оборудования (вкл. кол-во и объем резервуаров)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Наличие приборов учета воды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Ограждения санитарной охраны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Эксплуатирующая организация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</w:rPr>
            </w:pPr>
            <w:r>
              <w:rPr>
                <w:b/>
              </w:rPr>
              <w:t>Организация собственник</w:t>
            </w:r>
          </w:p>
        </w:tc>
      </w:tr>
      <w:tr>
        <w:trPr>
          <w:cantSplit w:val="true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Арт.скв. с. Чугуевка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ООО «Водолей»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Администрация Чугуевского муниципального округа</w:t>
            </w:r>
          </w:p>
        </w:tc>
      </w:tr>
      <w:tr>
        <w:trPr>
          <w:cantSplit w:val="true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Арт.скв. с. Новочугуевка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ООО «Водолей»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Чугуевского муниципального округа</w:t>
            </w:r>
          </w:p>
        </w:tc>
      </w:tr>
      <w:tr>
        <w:trPr>
          <w:cantSplit w:val="true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Арт.скв. с. Каменки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ООО «Водолей»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Чугуевского муниципального округа</w:t>
            </w:r>
          </w:p>
        </w:tc>
      </w:tr>
      <w:tr>
        <w:trPr>
          <w:cantSplit w:val="true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Арт.скв. с. Цветковка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н/д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ООО «Водолей»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Чугуевского муниципального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Характеристика насосного оборудования представлена в таблице 1.3.4.</w:t>
      </w:r>
    </w:p>
    <w:p>
      <w:pPr>
        <w:pStyle w:val="Normal"/>
        <w:ind w:hanging="0"/>
        <w:jc w:val="right"/>
        <w:rPr/>
      </w:pPr>
      <w:r>
        <w:rPr/>
        <w:t>Таблица 1.3.4</w:t>
      </w:r>
    </w:p>
    <w:tbl>
      <w:tblPr>
        <w:tblStyle w:val="63"/>
        <w:tblW w:w="49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966"/>
        <w:gridCol w:w="133"/>
        <w:gridCol w:w="1182"/>
        <w:gridCol w:w="1445"/>
        <w:gridCol w:w="804"/>
        <w:gridCol w:w="1948"/>
        <w:gridCol w:w="1575"/>
        <w:gridCol w:w="1048"/>
      </w:tblGrid>
      <w:tr>
        <w:trPr>
          <w:trHeight w:val="283" w:hRule="atLeast"/>
        </w:trPr>
        <w:tc>
          <w:tcPr>
            <w:tcW w:w="2099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Наименование узла и его местоположение</w:t>
            </w:r>
          </w:p>
        </w:tc>
        <w:tc>
          <w:tcPr>
            <w:tcW w:w="8002" w:type="dxa"/>
            <w:gridSpan w:val="6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Оборудование</w:t>
            </w:r>
          </w:p>
        </w:tc>
      </w:tr>
      <w:tr>
        <w:trPr>
          <w:trHeight w:val="735" w:hRule="atLeast"/>
        </w:trPr>
        <w:tc>
          <w:tcPr>
            <w:tcW w:w="2099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182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марка насоса</w:t>
            </w:r>
          </w:p>
        </w:tc>
        <w:tc>
          <w:tcPr>
            <w:tcW w:w="1445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производительность, м</w:t>
            </w:r>
            <w:r>
              <w:rPr>
                <w:rFonts w:eastAsia="Times New Roman" w:cs="Times New Roman"/>
                <w:b/>
                <w:kern w:val="0"/>
                <w:vertAlign w:val="superscript"/>
                <w:lang w:val="ru-RU" w:bidi="ar-SA"/>
              </w:rPr>
              <w:t>3</w:t>
            </w:r>
            <w:r>
              <w:rPr>
                <w:rFonts w:eastAsia="Times New Roman" w:cs="Times New Roman"/>
                <w:b/>
                <w:kern w:val="0"/>
                <w:lang w:val="ru-RU" w:bidi="ar-SA"/>
              </w:rPr>
              <w:t>/ч</w:t>
            </w:r>
          </w:p>
        </w:tc>
        <w:tc>
          <w:tcPr>
            <w:tcW w:w="804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напор, м</w:t>
            </w:r>
          </w:p>
        </w:tc>
        <w:tc>
          <w:tcPr>
            <w:tcW w:w="1948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мощность эл. дв-ля, кВт</w:t>
            </w:r>
          </w:p>
        </w:tc>
        <w:tc>
          <w:tcPr>
            <w:tcW w:w="1575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время работы, ч/год</w:t>
            </w:r>
          </w:p>
        </w:tc>
        <w:tc>
          <w:tcPr>
            <w:tcW w:w="1048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износ, %</w:t>
            </w:r>
          </w:p>
        </w:tc>
      </w:tr>
      <w:tr>
        <w:trPr>
          <w:trHeight w:val="360" w:hRule="atLeast"/>
        </w:trPr>
        <w:tc>
          <w:tcPr>
            <w:tcW w:w="10101" w:type="dxa"/>
            <w:gridSpan w:val="8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ВНС № 1</w:t>
            </w:r>
          </w:p>
        </w:tc>
      </w:tr>
      <w:tr>
        <w:trPr>
          <w:trHeight w:val="283" w:hRule="atLeast"/>
        </w:trPr>
        <w:tc>
          <w:tcPr>
            <w:tcW w:w="2099" w:type="dxa"/>
            <w:gridSpan w:val="2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Style w:val="Style19"/>
                <w:rFonts w:cs="Times New Roman"/>
                <w:kern w:val="0"/>
                <w:sz w:val="20"/>
                <w:szCs w:val="20"/>
                <w:lang w:val="ru-RU" w:bidi="ar-SA"/>
              </w:rPr>
              <w:t>Горизонтальный водосбор инфильтрационного типа</w:t>
            </w:r>
          </w:p>
        </w:tc>
        <w:tc>
          <w:tcPr>
            <w:tcW w:w="1182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ЭЦВ 8-25-150</w:t>
            </w:r>
          </w:p>
        </w:tc>
        <w:tc>
          <w:tcPr>
            <w:tcW w:w="144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25</w:t>
            </w:r>
          </w:p>
        </w:tc>
        <w:tc>
          <w:tcPr>
            <w:tcW w:w="804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150</w:t>
            </w:r>
          </w:p>
        </w:tc>
        <w:tc>
          <w:tcPr>
            <w:tcW w:w="19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57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3000</w:t>
            </w:r>
          </w:p>
        </w:tc>
        <w:tc>
          <w:tcPr>
            <w:tcW w:w="10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85</w:t>
            </w:r>
          </w:p>
        </w:tc>
      </w:tr>
      <w:tr>
        <w:trPr>
          <w:trHeight w:val="283" w:hRule="atLeast"/>
        </w:trPr>
        <w:tc>
          <w:tcPr>
            <w:tcW w:w="10101" w:type="dxa"/>
            <w:gridSpan w:val="8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ВНС № 2</w:t>
            </w:r>
          </w:p>
        </w:tc>
      </w:tr>
      <w:tr>
        <w:trPr>
          <w:trHeight w:val="283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Скважина № 1275, с. Чугуевка,</w:t>
            </w:r>
          </w:p>
          <w:p>
            <w:pPr>
              <w:pStyle w:val="Style58"/>
              <w:widowControl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ул. Рабочая, 10а</w:t>
            </w:r>
          </w:p>
        </w:tc>
        <w:tc>
          <w:tcPr>
            <w:tcW w:w="1315" w:type="dxa"/>
            <w:gridSpan w:val="2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ЭЦВ 6-16-110</w:t>
            </w:r>
          </w:p>
        </w:tc>
        <w:tc>
          <w:tcPr>
            <w:tcW w:w="144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16</w:t>
            </w:r>
          </w:p>
        </w:tc>
        <w:tc>
          <w:tcPr>
            <w:tcW w:w="804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110</w:t>
            </w:r>
          </w:p>
        </w:tc>
        <w:tc>
          <w:tcPr>
            <w:tcW w:w="19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57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3000</w:t>
            </w:r>
          </w:p>
        </w:tc>
        <w:tc>
          <w:tcPr>
            <w:tcW w:w="10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Скважина № 1125б, с. Чугуевка,</w:t>
            </w:r>
          </w:p>
          <w:p>
            <w:pPr>
              <w:pStyle w:val="Style58"/>
              <w:widowControl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ул. Рабочая, 10а</w:t>
            </w:r>
          </w:p>
        </w:tc>
        <w:tc>
          <w:tcPr>
            <w:tcW w:w="1315" w:type="dxa"/>
            <w:gridSpan w:val="2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ЭЦВ 6-10-140</w:t>
            </w:r>
          </w:p>
        </w:tc>
        <w:tc>
          <w:tcPr>
            <w:tcW w:w="144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804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14000</w:t>
            </w:r>
          </w:p>
        </w:tc>
        <w:tc>
          <w:tcPr>
            <w:tcW w:w="19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57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3000</w:t>
            </w:r>
          </w:p>
        </w:tc>
        <w:tc>
          <w:tcPr>
            <w:tcW w:w="10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Скважина № 1125в, с. Чугуевка,</w:t>
            </w:r>
          </w:p>
          <w:p>
            <w:pPr>
              <w:pStyle w:val="Style58"/>
              <w:widowControl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ул. Рабочая, 10а</w:t>
            </w:r>
          </w:p>
        </w:tc>
        <w:tc>
          <w:tcPr>
            <w:tcW w:w="1315" w:type="dxa"/>
            <w:gridSpan w:val="2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ЭЦВ-8-25-150</w:t>
            </w:r>
          </w:p>
        </w:tc>
        <w:tc>
          <w:tcPr>
            <w:tcW w:w="144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25</w:t>
            </w:r>
          </w:p>
        </w:tc>
        <w:tc>
          <w:tcPr>
            <w:tcW w:w="804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150</w:t>
            </w:r>
          </w:p>
        </w:tc>
        <w:tc>
          <w:tcPr>
            <w:tcW w:w="19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57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3000</w:t>
            </w:r>
          </w:p>
        </w:tc>
        <w:tc>
          <w:tcPr>
            <w:tcW w:w="10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90</w:t>
            </w:r>
          </w:p>
        </w:tc>
      </w:tr>
      <w:tr>
        <w:trPr>
          <w:trHeight w:val="283" w:hRule="atLeast"/>
        </w:trPr>
        <w:tc>
          <w:tcPr>
            <w:tcW w:w="10101" w:type="dxa"/>
            <w:gridSpan w:val="8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  <w:t>ВНС № 3</w:t>
            </w:r>
          </w:p>
        </w:tc>
      </w:tr>
      <w:tr>
        <w:trPr>
          <w:trHeight w:val="283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Скважина № 1</w:t>
            </w:r>
          </w:p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ст.Новочугуевка, ул. Вокзальная, 1а</w:t>
            </w:r>
          </w:p>
        </w:tc>
        <w:tc>
          <w:tcPr>
            <w:tcW w:w="1315" w:type="dxa"/>
            <w:gridSpan w:val="2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Wilo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jet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WJ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 xml:space="preserve"> и МЕТАБО</w:t>
            </w:r>
          </w:p>
        </w:tc>
        <w:tc>
          <w:tcPr>
            <w:tcW w:w="1445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  <w:tc>
          <w:tcPr>
            <w:tcW w:w="804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  <w:tc>
          <w:tcPr>
            <w:tcW w:w="1948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  <w:tc>
          <w:tcPr>
            <w:tcW w:w="1575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  <w:tc>
          <w:tcPr>
            <w:tcW w:w="1048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</w:tr>
      <w:tr>
        <w:trPr>
          <w:trHeight w:val="283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Скважина</w:t>
            </w:r>
          </w:p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с. Цветковка</w:t>
            </w:r>
          </w:p>
        </w:tc>
        <w:tc>
          <w:tcPr>
            <w:tcW w:w="1315" w:type="dxa"/>
            <w:gridSpan w:val="2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Wilo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jet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WJ</w:t>
            </w:r>
          </w:p>
        </w:tc>
        <w:tc>
          <w:tcPr>
            <w:tcW w:w="1445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  <w:tc>
          <w:tcPr>
            <w:tcW w:w="804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  <w:tc>
          <w:tcPr>
            <w:tcW w:w="1948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  <w:tc>
          <w:tcPr>
            <w:tcW w:w="1575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  <w:tc>
          <w:tcPr>
            <w:tcW w:w="1048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ind w:left="0" w:hanging="0"/>
              <w:rPr>
                <w:rFonts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lang w:val="ru-RU" w:bidi="ar-SA"/>
              </w:rPr>
              <w:t>н/д</w:t>
            </w:r>
          </w:p>
        </w:tc>
      </w:tr>
      <w:tr>
        <w:trPr>
          <w:trHeight w:val="283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Скважина</w:t>
            </w:r>
          </w:p>
          <w:p>
            <w:pPr>
              <w:pStyle w:val="Style58"/>
              <w:widowControl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с. Каменка</w:t>
            </w:r>
          </w:p>
        </w:tc>
        <w:tc>
          <w:tcPr>
            <w:tcW w:w="1315" w:type="dxa"/>
            <w:gridSpan w:val="2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ЭЦВ 8-25-150</w:t>
            </w:r>
          </w:p>
        </w:tc>
        <w:tc>
          <w:tcPr>
            <w:tcW w:w="144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25</w:t>
            </w:r>
          </w:p>
        </w:tc>
        <w:tc>
          <w:tcPr>
            <w:tcW w:w="804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150</w:t>
            </w:r>
          </w:p>
        </w:tc>
        <w:tc>
          <w:tcPr>
            <w:tcW w:w="19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575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2000</w:t>
            </w:r>
          </w:p>
        </w:tc>
        <w:tc>
          <w:tcPr>
            <w:tcW w:w="1048" w:type="dxa"/>
            <w:tcBorders/>
            <w:shd w:color="auto" w:fill="auto" w:val="clear"/>
            <w:vAlign w:val="center"/>
          </w:tcPr>
          <w:p>
            <w:pPr>
              <w:pStyle w:val="Style58"/>
              <w:widowControl/>
              <w:spacing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80</w:t>
            </w:r>
          </w:p>
        </w:tc>
      </w:tr>
    </w:tbl>
    <w:p>
      <w:pPr>
        <w:pStyle w:val="Normal"/>
        <w:spacing w:before="120" w:after="200"/>
        <w:rPr>
          <w:szCs w:val="24"/>
        </w:rPr>
      </w:pPr>
      <w:r>
        <w:rPr>
          <w:szCs w:val="24"/>
        </w:rPr>
        <w:t>В соответствии с СанПиН 2.1.4.1110-02 зоны санитарной охраны организуются в составе трех поясов.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Зоны санитарной охраны (ЗСО) организуются на всех водопроводах, вне зависимости от ведомственной принадлежности. 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Санитарные условия с позиций охраны подземных вод от загрязнения удовлетворительны. Территории окрестностей водозаборов (в пределах проектируемых границ ЗСО I) в целом удовлетворительны с точки зрения санитарных условий эксплуатации защищенного подземного источника хозяйственно-питьевого водоснабжения, несмотря на то, что водозаборы находятся в пределах населенного пункта.</w:t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 xml:space="preserve">Рекомендуется провести </w:t>
      </w:r>
      <w:r>
        <w:rPr/>
        <w:t xml:space="preserve">обследование состояния источников питьевого водоснабжения и анализ зон санитарной охраны, произвести обустройство зон санитарной охраны для всех источников хозяйственно-питьевого водоснабжения и водопроводных сооружений в соответствии </w:t>
      </w:r>
      <w:r>
        <w:rPr>
          <w:szCs w:val="24"/>
        </w:rPr>
        <w:t>с СанПиН 2.1.4.1110-02 в составе трех поясов.</w:t>
      </w:r>
    </w:p>
    <w:p>
      <w:pPr>
        <w:pStyle w:val="Normal"/>
        <w:spacing w:before="120" w:after="200"/>
        <w:rPr>
          <w:bCs/>
          <w:i/>
          <w:i/>
          <w:szCs w:val="24"/>
        </w:rPr>
      </w:pPr>
      <w:r>
        <w:rPr>
          <w:bCs/>
          <w:i/>
          <w:szCs w:val="24"/>
        </w:rPr>
        <w:t>Зоны санитарной охраны водопроводных очистных сооружений</w:t>
      </w:r>
    </w:p>
    <w:p>
      <w:pPr>
        <w:pStyle w:val="Normal"/>
        <w:spacing w:before="0" w:after="0"/>
        <w:rPr>
          <w:szCs w:val="24"/>
        </w:rPr>
      </w:pPr>
      <w:r>
        <w:rPr>
          <w:bCs/>
          <w:szCs w:val="24"/>
        </w:rPr>
        <w:t xml:space="preserve">Зона санитарной охраны водопроводных сооружений, расположенных вне территории водозабора, представлена первым поясом, который принят на расстоянии 30 м от стен резервуара и здания ВОС.  Граница первого пояса совпадает с ограждением площадки сооружений. На территории ЗСО ВОС </w:t>
      </w:r>
      <w:r>
        <w:rPr>
          <w:szCs w:val="24"/>
        </w:rPr>
        <w:t>запрещается посадка высокоствольных деревьев, все виды строительства, не имеющих отношение к эксплуатации, размещение жилых зданий, проживание людей, применение ядохимикатов и удобрений. Отвод сточных вод должен предусматриваться в систему бытовой канализации за пределами первого пояса.</w:t>
      </w:r>
    </w:p>
    <w:p>
      <w:pPr>
        <w:pStyle w:val="2"/>
        <w:numPr>
          <w:ilvl w:val="3"/>
          <w:numId w:val="44"/>
        </w:numPr>
        <w:tabs>
          <w:tab w:val="clear" w:pos="709"/>
          <w:tab w:val="left" w:pos="1560" w:leader="none"/>
        </w:tabs>
        <w:spacing w:lineRule="auto" w:line="240"/>
        <w:rPr/>
      </w:pPr>
      <w:bookmarkStart w:id="13" w:name="_Toc107492596"/>
      <w:r>
        <w:rPr/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3"/>
    </w:p>
    <w:p>
      <w:pPr>
        <w:pStyle w:val="Normal"/>
        <w:rPr/>
      </w:pPr>
      <w:r>
        <w:rPr/>
        <w:t>Качество подаваемой населению воды (на всем пути транспортирования от водозаборного устройства до потребителя) должно подвергаться санитарному контролю. Санитарный надзор, осуществляемый санэпидстанцией, распространяется на всю систему хозяйственно-питьевого водоснабжения. На территории, входящей в зону санитарной охраны, должен быть установлен режим, обеспечивающий надежную защиту источников водоснабжения от загрязнения и сохранения требуемых качеств воды.</w:t>
      </w:r>
    </w:p>
    <w:p>
      <w:pPr>
        <w:pStyle w:val="Normal"/>
        <w:rPr/>
      </w:pPr>
      <w:r>
        <w:rPr/>
        <w:t xml:space="preserve">Сооружения очистки и подготовки воды на территории </w:t>
      </w:r>
      <w:r>
        <w:rPr>
          <w:szCs w:val="24"/>
        </w:rPr>
        <w:t>Чугуевского муниципального округа</w:t>
      </w:r>
      <w:r>
        <w:rPr/>
        <w:t xml:space="preserve"> в настоящее время отсутствуют.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Водопроводные сети в значительной степени изношены, степень износа составляет 18 %.</w:t>
      </w:r>
    </w:p>
    <w:p>
      <w:pPr>
        <w:pStyle w:val="Normal"/>
        <w:rPr/>
      </w:pPr>
      <w:r>
        <w:rPr/>
        <w:t>Данные лабораторных анализов воды приведены в таблице 1.3.5.</w:t>
      </w:r>
    </w:p>
    <w:p>
      <w:pPr>
        <w:pStyle w:val="Normal"/>
        <w:jc w:val="right"/>
        <w:rPr/>
      </w:pPr>
      <w:r>
        <w:rPr/>
        <w:t>Таблица 1.3.5</w:t>
      </w:r>
    </w:p>
    <w:tbl>
      <w:tblPr>
        <w:tblStyle w:val="ae"/>
        <w:tblW w:w="48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54"/>
        <w:gridCol w:w="2377"/>
        <w:gridCol w:w="5065"/>
      </w:tblGrid>
      <w:tr>
        <w:trPr>
          <w:tblHeader w:val="true"/>
          <w:trHeight w:val="994" w:hRule="atLeast"/>
        </w:trPr>
        <w:tc>
          <w:tcPr>
            <w:tcW w:w="2354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rPr>
                <w:b/>
                <w:b/>
                <w:szCs w:val="22"/>
                <w:shd w:fill="FFFFFF" w:val="clear"/>
              </w:rPr>
            </w:pPr>
            <w:r>
              <w:rPr>
                <w:rFonts w:eastAsia="Calibri" w:cs="Times New Roman"/>
                <w:b/>
                <w:kern w:val="0"/>
                <w:szCs w:val="22"/>
                <w:shd w:fill="FFFFFF" w:val="clear"/>
                <w:lang w:val="ru-RU" w:bidi="ar-SA"/>
              </w:rPr>
              <w:t>Наименование источника водоснабжения, его местоположение</w:t>
            </w:r>
          </w:p>
        </w:tc>
        <w:tc>
          <w:tcPr>
            <w:tcW w:w="2377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rPr>
                <w:b/>
                <w:b/>
                <w:szCs w:val="22"/>
                <w:shd w:fill="FFFFFF" w:val="clear"/>
              </w:rPr>
            </w:pPr>
            <w:r>
              <w:rPr>
                <w:rFonts w:eastAsia="Calibri" w:cs="Times New Roman"/>
                <w:b/>
                <w:kern w:val="0"/>
                <w:szCs w:val="22"/>
                <w:shd w:fill="FFFFFF" w:val="clear"/>
                <w:lang w:val="ru-RU" w:bidi="ar-SA"/>
              </w:rPr>
              <w:t>Наличие водоподготовительных установок</w:t>
            </w:r>
          </w:p>
        </w:tc>
        <w:tc>
          <w:tcPr>
            <w:tcW w:w="5065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rPr>
                <w:b/>
                <w:b/>
                <w:szCs w:val="22"/>
                <w:shd w:fill="FFFFFF" w:val="clear"/>
              </w:rPr>
            </w:pPr>
            <w:r>
              <w:rPr>
                <w:rFonts w:eastAsia="Calibri" w:cs="Times New Roman"/>
                <w:b/>
                <w:kern w:val="0"/>
                <w:szCs w:val="22"/>
                <w:shd w:fill="FFFFFF" w:val="clear"/>
                <w:lang w:val="ru-RU" w:bidi="ar-SA"/>
              </w:rPr>
              <w:t>Качественная характеристика вод</w:t>
            </w:r>
          </w:p>
          <w:p>
            <w:pPr>
              <w:pStyle w:val="Style56"/>
              <w:widowControl/>
              <w:spacing w:before="0" w:after="0"/>
              <w:rPr>
                <w:b/>
                <w:b/>
                <w:szCs w:val="22"/>
                <w:shd w:fill="FFFFFF" w:val="clear"/>
              </w:rPr>
            </w:pPr>
            <w:r>
              <w:rPr>
                <w:rFonts w:eastAsia="Calibri" w:cs="Times New Roman"/>
                <w:b/>
                <w:kern w:val="0"/>
                <w:szCs w:val="22"/>
                <w:shd w:fill="FFFFFF" w:val="clear"/>
                <w:lang w:val="ru-RU" w:bidi="ar-SA"/>
              </w:rPr>
              <w:t>(соответствует ли СанПиН 1.2.3684-21,</w:t>
            </w:r>
          </w:p>
          <w:p>
            <w:pPr>
              <w:pStyle w:val="Style56"/>
              <w:widowControl/>
              <w:spacing w:before="0" w:after="0"/>
              <w:rPr>
                <w:b/>
                <w:b/>
                <w:szCs w:val="22"/>
                <w:shd w:fill="FFFFFF" w:val="clear"/>
              </w:rPr>
            </w:pPr>
            <w:r>
              <w:rPr>
                <w:rFonts w:eastAsia="Calibri" w:cs="Times New Roman"/>
                <w:b/>
                <w:kern w:val="0"/>
                <w:szCs w:val="22"/>
                <w:shd w:fill="FFFFFF" w:val="clear"/>
                <w:lang w:val="ru-RU" w:bidi="ar-SA"/>
              </w:rPr>
              <w:t>в случае несоответствия –указать показатели,</w:t>
            </w:r>
          </w:p>
          <w:p>
            <w:pPr>
              <w:pStyle w:val="Style56"/>
              <w:widowControl/>
              <w:spacing w:before="0" w:after="0"/>
              <w:rPr>
                <w:b/>
                <w:b/>
                <w:szCs w:val="22"/>
                <w:shd w:fill="FFFFFF" w:val="clear"/>
              </w:rPr>
            </w:pPr>
            <w:r>
              <w:rPr>
                <w:rFonts w:eastAsia="Calibri" w:cs="Times New Roman"/>
                <w:b/>
                <w:kern w:val="0"/>
                <w:szCs w:val="22"/>
                <w:shd w:fill="FFFFFF" w:val="clear"/>
                <w:lang w:val="ru-RU" w:bidi="ar-SA"/>
              </w:rPr>
              <w:t>по которым обнаружено превышение)</w:t>
            </w:r>
          </w:p>
        </w:tc>
      </w:tr>
      <w:tr>
        <w:trPr/>
        <w:tc>
          <w:tcPr>
            <w:tcW w:w="2354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rPr>
                <w:szCs w:val="22"/>
                <w:shd w:fill="FFFFFF" w:val="clear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Чугуевский муниципальный округ</w:t>
            </w:r>
          </w:p>
        </w:tc>
        <w:tc>
          <w:tcPr>
            <w:tcW w:w="2377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rPr>
                <w:szCs w:val="22"/>
                <w:shd w:fill="FFFFFF" w:val="clear"/>
              </w:rPr>
            </w:pPr>
            <w:r>
              <w:rPr>
                <w:rFonts w:eastAsia="Calibri" w:cs="Times New Roman"/>
                <w:kern w:val="0"/>
                <w:szCs w:val="22"/>
                <w:shd w:fill="FFFFFF" w:val="clear"/>
                <w:lang w:val="ru-RU" w:bidi="ar-SA"/>
              </w:rPr>
              <w:t>нет</w:t>
            </w:r>
          </w:p>
        </w:tc>
        <w:tc>
          <w:tcPr>
            <w:tcW w:w="5065" w:type="dxa"/>
            <w:tcBorders/>
            <w:shd w:color="auto" w:fill="auto" w:val="clear"/>
            <w:vAlign w:val="center"/>
          </w:tcPr>
          <w:p>
            <w:pPr>
              <w:pStyle w:val="Style56"/>
              <w:widowControl/>
              <w:spacing w:before="0" w:after="0"/>
              <w:rPr>
                <w:szCs w:val="22"/>
                <w:shd w:fill="FFFFFF" w:val="clear"/>
              </w:rPr>
            </w:pPr>
            <w:r>
              <w:rPr>
                <w:rFonts w:eastAsia="Calibri" w:cs="Times New Roman"/>
                <w:kern w:val="0"/>
                <w:szCs w:val="22"/>
                <w:shd w:fill="FFFFFF" w:val="clear"/>
                <w:lang w:val="ru-RU" w:bidi="ar-SA"/>
              </w:rPr>
              <w:t>н/д</w:t>
            </w:r>
          </w:p>
        </w:tc>
      </w:tr>
    </w:tbl>
    <w:p>
      <w:pPr>
        <w:pStyle w:val="Normal"/>
        <w:spacing w:before="120" w:after="120"/>
        <w:rPr/>
      </w:pPr>
      <w:r>
        <w:rPr>
          <w:szCs w:val="24"/>
          <w:lang w:eastAsia="ru-RU"/>
        </w:rPr>
        <w:t xml:space="preserve">Вода из артезианских скважин соответствует установленным требованиям </w:t>
      </w:r>
      <w:r>
        <w:rPr>
          <w:shd w:fill="FFFFFF" w:val="clear"/>
        </w:rPr>
        <w:t xml:space="preserve">СанПиН 1.2.3684-21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</w:r>
    </w:p>
    <w:p>
      <w:pPr>
        <w:pStyle w:val="2"/>
        <w:numPr>
          <w:ilvl w:val="3"/>
          <w:numId w:val="45"/>
        </w:numPr>
        <w:tabs>
          <w:tab w:val="clear" w:pos="709"/>
          <w:tab w:val="left" w:pos="1560" w:leader="none"/>
        </w:tabs>
        <w:spacing w:lineRule="auto" w:line="240"/>
        <w:rPr/>
      </w:pPr>
      <w:bookmarkStart w:id="14" w:name="_Toc107492597"/>
      <w:r>
        <w:rPr>
          <w:lang w:eastAsia="ru-RU"/>
        </w:rPr>
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</w:r>
      <w:bookmarkEnd w:id="14"/>
    </w:p>
    <w:p>
      <w:pPr>
        <w:pStyle w:val="Normal"/>
        <w:spacing w:before="0" w:after="120"/>
        <w:rPr>
          <w:lang w:eastAsia="ru-RU"/>
        </w:rPr>
      </w:pPr>
      <w:bookmarkStart w:id="15" w:name="_Toc375685007"/>
      <w:bookmarkStart w:id="16" w:name="_Toc375649166"/>
      <w:bookmarkStart w:id="17" w:name="_Toc375683979"/>
      <w:bookmarkEnd w:id="15"/>
      <w:bookmarkEnd w:id="16"/>
      <w:bookmarkEnd w:id="17"/>
      <w:r>
        <w:rPr>
          <w:lang w:eastAsia="ru-RU"/>
        </w:rPr>
        <w:t xml:space="preserve">На территории Чугуевского муниципального округа водоснабжение осуществляется подземной водой из артезианских скважин. </w:t>
      </w:r>
    </w:p>
    <w:p>
      <w:pPr>
        <w:pStyle w:val="Normal"/>
        <w:spacing w:before="0" w:after="120"/>
        <w:rPr/>
      </w:pPr>
      <w:r>
        <w:rPr/>
        <w:t>Качественное водоснабжение потребителей в указанных зонах водоснабжения обеспечивают насосы,</w:t>
      </w:r>
      <w:r>
        <w:rPr>
          <w:lang w:eastAsia="ru-RU"/>
        </w:rPr>
        <w:t xml:space="preserve"> марки ЭЦВ</w:t>
      </w:r>
      <w:r>
        <w:rPr/>
        <w:t>. Техническое состояние насосного оборудования удовлетворительное. Работа насосов скважин осуществляется в автоматическом режиме, в зависимости от наполнения водонапорной башни (накопительного бака).</w:t>
      </w:r>
      <w:r>
        <w:rPr>
          <w:lang w:eastAsia="ru-RU"/>
        </w:rPr>
        <w:t xml:space="preserve"> Характеристика насосного оборудования представлена в таблице </w:t>
      </w:r>
      <w:r>
        <w:rPr/>
        <w:t>1.</w:t>
      </w:r>
      <w:r>
        <w:rPr>
          <w:lang w:eastAsia="ru-RU"/>
        </w:rPr>
        <w:t>3.4.</w:t>
      </w:r>
    </w:p>
    <w:p>
      <w:pPr>
        <w:pStyle w:val="Normal"/>
        <w:spacing w:before="0" w:after="120"/>
        <w:rPr/>
      </w:pPr>
      <w:r>
        <w:rPr/>
        <w:t>Энергоэффективность холодного водоснабжения определялась по фактическим показателям и оценивается как соотношение расхода электрической энергии, необходимого для подготовки, транспортировки установленного объёма воды, заданного уровня напора (давления).</w:t>
      </w:r>
    </w:p>
    <w:p>
      <w:pPr>
        <w:pStyle w:val="2"/>
        <w:numPr>
          <w:ilvl w:val="3"/>
          <w:numId w:val="46"/>
        </w:numPr>
        <w:tabs>
          <w:tab w:val="clear" w:pos="709"/>
          <w:tab w:val="left" w:pos="1560" w:leader="none"/>
        </w:tabs>
        <w:spacing w:lineRule="auto" w:line="240"/>
        <w:rPr/>
      </w:pPr>
      <w:bookmarkStart w:id="18" w:name="_Toc107492598"/>
      <w:r>
        <w:rPr>
          <w:lang w:eastAsia="ru-RU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8"/>
    </w:p>
    <w:p>
      <w:pPr>
        <w:pStyle w:val="Normal"/>
        <w:spacing w:before="0" w:after="120"/>
        <w:rPr/>
      </w:pPr>
      <w:r>
        <w:rPr/>
        <w:t xml:space="preserve">Вода от артезианских скважин по трубопроводам 24,8 км поступает в </w:t>
      </w:r>
      <w:r>
        <w:rPr>
          <w:lang w:eastAsia="ru-RU"/>
        </w:rPr>
        <w:t xml:space="preserve">накопительный бак (водобашня), далее </w:t>
      </w:r>
      <w:r>
        <w:rPr/>
        <w:t xml:space="preserve">потребителям с определенно заданным давлением. </w:t>
      </w:r>
    </w:p>
    <w:p>
      <w:pPr>
        <w:pStyle w:val="Normal"/>
        <w:spacing w:before="0" w:after="120"/>
        <w:rPr/>
      </w:pPr>
      <w:r>
        <w:rPr/>
        <w:t>Сети холодного водоснабжения поселка выполнены в однотрубном исполнении. Способ прокладки – подземный и надземный. Характеристика существующих водопроводных сетей приведена в таблице 1.3.6.</w:t>
      </w:r>
    </w:p>
    <w:p>
      <w:pPr>
        <w:pStyle w:val="Normal"/>
        <w:spacing w:before="0" w:after="120"/>
        <w:ind w:hanging="0"/>
        <w:jc w:val="right"/>
        <w:rPr/>
      </w:pPr>
      <w:r>
        <w:rPr/>
        <w:t>Таблица 1.3.6</w:t>
      </w:r>
    </w:p>
    <w:tbl>
      <w:tblPr>
        <w:tblW w:w="4900" w:type="pct"/>
        <w:jc w:val="left"/>
        <w:tblInd w:w="0" w:type="dxa"/>
        <w:tblLayout w:type="fixed"/>
        <w:tblCellMar>
          <w:top w:w="6" w:type="dxa"/>
          <w:left w:w="108" w:type="dxa"/>
          <w:bottom w:w="6" w:type="dxa"/>
          <w:right w:w="108" w:type="dxa"/>
        </w:tblCellMar>
        <w:tblLook w:val="04a0" w:noHBand="0" w:noVBand="1" w:firstColumn="1" w:lastRow="0" w:lastColumn="0" w:firstRow="1"/>
      </w:tblPr>
      <w:tblGrid>
        <w:gridCol w:w="1465"/>
        <w:gridCol w:w="1599"/>
        <w:gridCol w:w="996"/>
        <w:gridCol w:w="1068"/>
        <w:gridCol w:w="1139"/>
        <w:gridCol w:w="1164"/>
        <w:gridCol w:w="1430"/>
        <w:gridCol w:w="1137"/>
      </w:tblGrid>
      <w:tr>
        <w:trPr>
          <w:tblHeader w:val="true"/>
          <w:trHeight w:val="20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Наименование населенного пункта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Протяженность, км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Диаметр, мм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Материал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Тип прокладки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Средняя глубина заложения, м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Год ввода в эксплуатацию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Износ, %</w:t>
            </w:r>
          </w:p>
        </w:tc>
      </w:tr>
      <w:tr>
        <w:trPr>
          <w:tblHeader w:val="true"/>
          <w:trHeight w:val="20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с. Чугуевка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22,7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</w:tr>
      <w:tr>
        <w:trPr>
          <w:tblHeader w:val="true"/>
          <w:trHeight w:val="20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с. Цветковка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</w:tr>
      <w:tr>
        <w:trPr>
          <w:tblHeader w:val="true"/>
          <w:trHeight w:val="20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с. Каменка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0,6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</w:tr>
      <w:tr>
        <w:trPr>
          <w:tblHeader w:val="true"/>
          <w:trHeight w:val="20" w:hRule="atLeast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24,8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</w:tbl>
    <w:p>
      <w:pPr>
        <w:pStyle w:val="Normal"/>
        <w:spacing w:before="120" w:after="120"/>
        <w:rPr/>
      </w:pPr>
      <w:r>
        <w:rPr/>
        <w:t xml:space="preserve"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 </w:t>
      </w:r>
    </w:p>
    <w:p>
      <w:pPr>
        <w:pStyle w:val="2"/>
        <w:numPr>
          <w:ilvl w:val="3"/>
          <w:numId w:val="47"/>
        </w:numPr>
        <w:tabs>
          <w:tab w:val="clear" w:pos="709"/>
          <w:tab w:val="left" w:pos="1560" w:leader="none"/>
        </w:tabs>
        <w:spacing w:lineRule="auto" w:line="240"/>
        <w:rPr/>
      </w:pPr>
      <w:bookmarkStart w:id="19" w:name="_Toc107492599"/>
      <w:r>
        <w:rPr/>
        <w:t>Описание существующих технических и технологических проблем, возникающих при водоснабжении Чугуевского муниципального округа,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9"/>
    </w:p>
    <w:p>
      <w:pPr>
        <w:pStyle w:val="Normal"/>
        <w:spacing w:before="0" w:after="60"/>
        <w:rPr/>
      </w:pPr>
      <w:r>
        <w:rPr/>
        <w:t xml:space="preserve">В настоящее время основными проблемами в водоснабжении муниципального образования являются: </w:t>
      </w:r>
    </w:p>
    <w:p>
      <w:pPr>
        <w:pStyle w:val="Normal"/>
        <w:numPr>
          <w:ilvl w:val="0"/>
          <w:numId w:val="2"/>
        </w:numPr>
        <w:spacing w:before="0" w:after="0"/>
        <w:ind w:left="851" w:hanging="284"/>
        <w:rPr/>
      </w:pPr>
      <w:r>
        <w:rPr/>
        <w:t>преждевременный износ насосного оборудования ВЗУ, как следствие неудовлетворительное качество воды;</w:t>
      </w:r>
    </w:p>
    <w:p>
      <w:pPr>
        <w:pStyle w:val="Normal"/>
        <w:numPr>
          <w:ilvl w:val="0"/>
          <w:numId w:val="2"/>
        </w:numPr>
        <w:spacing w:before="0" w:after="0"/>
        <w:ind w:left="851" w:hanging="284"/>
        <w:rPr/>
      </w:pPr>
      <w:r>
        <w:rPr/>
        <w:t xml:space="preserve">высокий моральный и физический процент износа трубопроводов и запорной арматуры; </w:t>
      </w:r>
    </w:p>
    <w:p>
      <w:pPr>
        <w:pStyle w:val="Normal"/>
        <w:numPr>
          <w:ilvl w:val="0"/>
          <w:numId w:val="2"/>
        </w:numPr>
        <w:spacing w:before="0" w:after="0"/>
        <w:ind w:left="851" w:hanging="284"/>
        <w:rPr/>
      </w:pPr>
      <w:r>
        <w:rPr/>
        <w:t xml:space="preserve">несоответствие существующего приборного учета современным требованиям; </w:t>
      </w:r>
    </w:p>
    <w:p>
      <w:pPr>
        <w:pStyle w:val="Normal"/>
        <w:numPr>
          <w:ilvl w:val="0"/>
          <w:numId w:val="2"/>
        </w:numPr>
        <w:spacing w:before="0" w:after="0"/>
        <w:ind w:left="851" w:hanging="284"/>
        <w:rPr>
          <w:szCs w:val="24"/>
        </w:rPr>
      </w:pPr>
      <w:r>
        <w:rPr>
          <w:szCs w:val="24"/>
        </w:rPr>
        <w:t>высокие энергозатраты по доставке воды потребителям;</w:t>
      </w:r>
    </w:p>
    <w:p>
      <w:pPr>
        <w:pStyle w:val="Normal"/>
        <w:numPr>
          <w:ilvl w:val="0"/>
          <w:numId w:val="2"/>
        </w:numPr>
        <w:spacing w:before="0" w:after="0"/>
        <w:ind w:left="851" w:hanging="284"/>
        <w:rPr>
          <w:szCs w:val="24"/>
        </w:rPr>
      </w:pPr>
      <w:r>
        <w:rPr>
          <w:szCs w:val="24"/>
        </w:rPr>
        <w:t>охват централизованным водоснабжением не всех потребителей;</w:t>
      </w:r>
    </w:p>
    <w:p>
      <w:pPr>
        <w:pStyle w:val="Normal"/>
        <w:numPr>
          <w:ilvl w:val="0"/>
          <w:numId w:val="2"/>
        </w:numPr>
        <w:spacing w:before="0" w:after="0"/>
        <w:ind w:left="851" w:hanging="284"/>
        <w:rPr>
          <w:szCs w:val="24"/>
        </w:rPr>
      </w:pPr>
      <w:r>
        <w:rPr>
          <w:szCs w:val="24"/>
        </w:rPr>
        <w:t>отсутствие современных систем диспетчеризации и телемеханизации, автоматизированных систем управления режимами водоснабжения на объектах, осуществляющих водоснабжение.</w:t>
      </w:r>
    </w:p>
    <w:p>
      <w:pPr>
        <w:pStyle w:val="Normal"/>
        <w:spacing w:before="0" w:after="0"/>
        <w:rPr/>
      </w:pPr>
      <w:r>
        <w:rPr/>
        <w:t>В настоящее время основной проблемой в водоснабжении и водоотведении поселения является износ сетей водоснабжения и насосного оборудования водозаборных узлов. Требуется замена или капитальный ремонт насосного оборудования водозаборных узлов.</w:t>
      </w:r>
    </w:p>
    <w:p>
      <w:pPr>
        <w:pStyle w:val="Normal"/>
        <w:spacing w:before="0" w:after="0"/>
        <w:rPr/>
      </w:pPr>
      <w:r>
        <w:rPr/>
        <w:t>Качество воды Чугуевского муниципального округа в основном соответствует требованиям СанПиН 1.2.3684-21 за 2021 год.</w:t>
      </w:r>
    </w:p>
    <w:p>
      <w:pPr>
        <w:pStyle w:val="Normal"/>
        <w:spacing w:before="0" w:after="0"/>
        <w:rPr/>
      </w:pPr>
      <w:r>
        <w:rPr/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в настоящее время отсутствуют.</w:t>
      </w:r>
    </w:p>
    <w:p>
      <w:pPr>
        <w:pStyle w:val="2"/>
        <w:numPr>
          <w:ilvl w:val="3"/>
          <w:numId w:val="48"/>
        </w:numPr>
        <w:tabs>
          <w:tab w:val="clear" w:pos="709"/>
          <w:tab w:val="left" w:pos="1560" w:leader="none"/>
        </w:tabs>
        <w:spacing w:lineRule="auto" w:line="240"/>
        <w:rPr/>
      </w:pPr>
      <w:bookmarkStart w:id="20" w:name="_Toc107492600"/>
      <w:r>
        <w:rPr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20"/>
    </w:p>
    <w:p>
      <w:pPr>
        <w:pStyle w:val="Normal"/>
        <w:rPr/>
      </w:pPr>
      <w:r>
        <w:rPr/>
        <w:t>На территории Чугуевского муниципального округа отсутствует централизованное горячее водоснабжение.</w:t>
      </w:r>
    </w:p>
    <w:p>
      <w:pPr>
        <w:pStyle w:val="Normal"/>
        <w:rPr/>
      </w:pPr>
      <w:r>
        <w:rPr/>
        <w:t>Население без централизованного горячего водоснабжения обеспечивается горячей водой посредством установки индивидуальных нагревателей: колонок, бойлеров, электроводонагревателей и т.д.</w:t>
      </w:r>
    </w:p>
    <w:p>
      <w:pPr>
        <w:pStyle w:val="2"/>
        <w:numPr>
          <w:ilvl w:val="2"/>
          <w:numId w:val="49"/>
        </w:numPr>
        <w:spacing w:lineRule="auto" w:line="240"/>
        <w:rPr/>
      </w:pPr>
      <w:bookmarkStart w:id="21" w:name="_Toc107492601"/>
      <w:r>
        <w:rPr/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21"/>
    </w:p>
    <w:p>
      <w:pPr>
        <w:pStyle w:val="Normal"/>
        <w:rPr/>
      </w:pPr>
      <w:r>
        <w:rPr/>
        <w:t>Исходя, из географического положения территория Чугуевского муниципального округа не относится к территории вечномерзлых грунтов. В связи, с этим фактором в поселении отсутствуют технические и технологические решения по предотвращению замерзания воды. Сети и водоводы расположены на глубине около 2,3 м от поверхности земельного горизонта и не подвергаются воздействию отрицательных температур.</w:t>
      </w:r>
    </w:p>
    <w:p>
      <w:pPr>
        <w:pStyle w:val="Normal"/>
        <w:rPr/>
      </w:pPr>
      <w:r>
        <w:rPr/>
        <w:t>Случаев аварий на участках сетей водоснабжения, вызванных промерзанием, на территории Чугуевского муниципального округа не выявлено.</w:t>
      </w:r>
    </w:p>
    <w:p>
      <w:pPr>
        <w:pStyle w:val="2"/>
        <w:numPr>
          <w:ilvl w:val="2"/>
          <w:numId w:val="50"/>
        </w:numPr>
        <w:spacing w:lineRule="auto" w:line="240"/>
        <w:rPr/>
      </w:pPr>
      <w:bookmarkStart w:id="22" w:name="_Toc107492602"/>
      <w:r>
        <w:rPr/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22"/>
    </w:p>
    <w:p>
      <w:pPr>
        <w:pStyle w:val="Normal"/>
        <w:rPr/>
      </w:pPr>
      <w:r>
        <w:rPr/>
        <w:t>Объекты водоснабжения находятся в собственности Администрация Чугуевского муниципального округа.</w:t>
      </w:r>
    </w:p>
    <w:p>
      <w:pPr>
        <w:pStyle w:val="Normal"/>
        <w:spacing w:lineRule="auto" w:line="240" w:before="0" w:after="0"/>
        <w:ind w:hanging="0"/>
        <w:jc w:val="left"/>
        <w:rPr>
          <w:rFonts w:eastAsia="Times New Roman"/>
          <w:b/>
          <w:b/>
          <w:bCs/>
          <w:szCs w:val="26"/>
        </w:rPr>
      </w:pPr>
      <w:r>
        <w:rPr>
          <w:rFonts w:eastAsia="Times New Roman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23" w:name="_Toc107492603"/>
      <w:r>
        <w:rPr/>
        <w:t>НАПРАВЛЕНИЯ РАЗВИТИЯ ЦЕНТРАЛИЗОВАННЫХ СИСТЕМ ВОДОСНАБЖЕНИЯ</w:t>
      </w:r>
      <w:bookmarkEnd w:id="23"/>
    </w:p>
    <w:p>
      <w:pPr>
        <w:pStyle w:val="2"/>
        <w:numPr>
          <w:ilvl w:val="2"/>
          <w:numId w:val="51"/>
        </w:numPr>
        <w:rPr/>
      </w:pPr>
      <w:bookmarkStart w:id="24" w:name="_Toc107492604"/>
      <w:r>
        <w:rPr/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24"/>
    </w:p>
    <w:p>
      <w:pPr>
        <w:pStyle w:val="Normal"/>
        <w:spacing w:before="0" w:after="120"/>
        <w:rPr/>
      </w:pPr>
      <w:r>
        <w:rPr/>
        <w:t xml:space="preserve">Раздел «Водоснабжение» схемы водоснабжения и водоотведения Чугуевского муниципального округа на период до 2032 года разработан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поселения. </w:t>
      </w:r>
    </w:p>
    <w:p>
      <w:pPr>
        <w:pStyle w:val="Normal"/>
        <w:spacing w:before="0" w:after="60"/>
        <w:rPr/>
      </w:pPr>
      <w:r>
        <w:rPr/>
        <w:t>Принципами развития централизованной системы водоснабжения Чугуевского муниципального округа являются: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постоянное улучшение качества предоставления услуг водоснабжения потребителям (абонентам);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удовлетворение потребности в обеспечении услугой водоснабжения новых объектов строительства; 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 </w:t>
      </w:r>
    </w:p>
    <w:p>
      <w:pPr>
        <w:pStyle w:val="Normal"/>
        <w:spacing w:before="0" w:after="60"/>
        <w:rPr/>
      </w:pPr>
      <w:r>
        <w:rPr/>
        <w:t xml:space="preserve">  </w:t>
      </w:r>
      <w:r>
        <w:rPr/>
        <w:t xml:space="preserve">Основные задачи развития системы водоснабжения: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реконструкция и модернизация существующих 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замена запорной арматуры на водопроводной сети с целью обеспечения исправного технического состояния сети, бесперебойной подачи воды потребителям, в том числе на нужды пожаротушения;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строительство сетей и сооружений для водоснабжения осваиваемых и преобразуемых территорий, а также отдельных территорий поселения, не имеющих централизованного водоснабжения с целью обеспечения доступности услуг водоснабжения для всех жителей Чугуевского муниципального округа;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реконструкция существующих водопроводных очистных сооружений, а также оборудование всех водозаборных узлов установками и станциями обеззараживания и обезжелезивания;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соблюдение технологических, экологических и санитарно-эпидемиологических требований при заборе, подготовке и подаче питьевой воды потребителям;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человека;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внедрение мероприятий по энергосбережению и повышению энергетической эффективности систем водоснабжения, 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>
      <w:pPr>
        <w:pStyle w:val="Normal"/>
        <w:spacing w:before="0" w:after="120"/>
        <w:rPr/>
      </w:pPr>
      <w:r>
        <w:rPr/>
        <w:t>Основные плановые показатели развития централизованных систем водоснабжения.</w:t>
      </w:r>
    </w:p>
    <w:p>
      <w:pPr>
        <w:pStyle w:val="Normal"/>
        <w:spacing w:before="0" w:after="120"/>
        <w:rPr>
          <w:i/>
          <w:i/>
          <w:sz w:val="32"/>
          <w:u w:val="single"/>
        </w:rPr>
      </w:pPr>
      <w:r>
        <w:rPr>
          <w:rFonts w:eastAsia="Calibri" w:eastAsiaTheme="minorHAnsi"/>
          <w:i/>
          <w:szCs w:val="20"/>
          <w:u w:val="single"/>
          <w:lang w:eastAsia="ru-RU"/>
        </w:rPr>
        <w:t>Показатели качества воды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1. Удельный вес проб воды у потребителя, которые не отвечают гигиеническим нормативам по санитарно-химическим показателям;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2. Удельный вес проб воды у потребителя, которые не отвечают гигиеническим нормативам по микробиологическим показателям;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3. Доля проб питьевой воды, подаваемой с источников водоснабжения, водоочистных станций 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4.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</w:r>
    </w:p>
    <w:p>
      <w:pPr>
        <w:pStyle w:val="Normal"/>
        <w:spacing w:before="0" w:after="120"/>
        <w:rPr>
          <w:i/>
          <w:i/>
          <w:sz w:val="32"/>
          <w:szCs w:val="24"/>
          <w:u w:val="single"/>
        </w:rPr>
      </w:pPr>
      <w:r>
        <w:rPr>
          <w:rFonts w:eastAsia="Calibri" w:eastAsiaTheme="minorHAnsi"/>
          <w:i/>
          <w:szCs w:val="20"/>
          <w:u w:val="single"/>
          <w:lang w:eastAsia="ru-RU"/>
        </w:rPr>
        <w:t>Показатели надежности и бесперебойности водоснабжения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1. Водопроводные сети, нуждающиеся в замене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2. Аварийность на сетях водопровода;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3. Износ водопроводных сетей;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4. 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год.</w:t>
      </w:r>
    </w:p>
    <w:p>
      <w:pPr>
        <w:pStyle w:val="Normal"/>
        <w:spacing w:before="0" w:after="120"/>
        <w:rPr>
          <w:i/>
          <w:i/>
          <w:szCs w:val="24"/>
          <w:u w:val="single"/>
        </w:rPr>
      </w:pPr>
      <w:r>
        <w:rPr>
          <w:i/>
          <w:szCs w:val="24"/>
          <w:u w:val="single"/>
        </w:rPr>
        <w:t>Показатели эффективности использования ресурсов, в том числе уровень потерь воды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1. Объем неоплаченной воды от общего объема подачи;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2. Доля потерь воды в централизованных системах холодного водоснабжения при ее транспортировке в общем объеме воды, поданной в водопроводную сеть;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3. Удельный расход электрической энергии, потребляемой в технологическом процессе подготовки питьевой воды, на единицу объема воды, отпускаемой в сеть;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4.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воды.</w:t>
      </w:r>
    </w:p>
    <w:p>
      <w:pPr>
        <w:pStyle w:val="Normal"/>
        <w:spacing w:before="0" w:after="120"/>
        <w:rPr>
          <w:i/>
          <w:i/>
          <w:sz w:val="32"/>
          <w:szCs w:val="24"/>
          <w:u w:val="single"/>
        </w:rPr>
      </w:pPr>
      <w:r>
        <w:rPr>
          <w:i/>
          <w:szCs w:val="20"/>
          <w:u w:val="single"/>
        </w:rPr>
        <w:t>Иные показатели</w:t>
      </w:r>
    </w:p>
    <w:p>
      <w:pPr>
        <w:pStyle w:val="Normal"/>
        <w:spacing w:before="0" w:after="120"/>
        <w:rPr/>
      </w:pPr>
      <w:r>
        <w:rPr/>
        <w:t>-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>
      <w:pPr>
        <w:pStyle w:val="Normal"/>
        <w:spacing w:before="0" w:after="120"/>
        <w:rPr/>
      </w:pPr>
      <w:r>
        <w:rPr/>
        <w:t>Плановые значения показателей развития централизованных систем водоснабжения представлены в разделе 1.9.</w:t>
      </w:r>
    </w:p>
    <w:p>
      <w:pPr>
        <w:pStyle w:val="2"/>
        <w:numPr>
          <w:ilvl w:val="2"/>
          <w:numId w:val="52"/>
        </w:numPr>
        <w:spacing w:lineRule="auto" w:line="240"/>
        <w:rPr/>
      </w:pPr>
      <w:bookmarkStart w:id="25" w:name="_Toc107492605"/>
      <w:r>
        <w:rPr/>
        <w:t>Различные сценарии развития централизованных систем водоснабжения в зависимости от сценариев развития муниципального образования</w:t>
      </w:r>
      <w:bookmarkEnd w:id="25"/>
      <w:r>
        <w:rPr/>
        <w:t xml:space="preserve"> </w:t>
      </w:r>
    </w:p>
    <w:p>
      <w:pPr>
        <w:pStyle w:val="Normal"/>
        <w:spacing w:before="0" w:after="60"/>
        <w:rPr/>
      </w:pPr>
      <w:r>
        <w:rPr/>
        <w:t>На ближайшую перспективу необходимо предусмотреть реконструкцию существующего водовода и разводящих сетей, при необходимости постройка водопроводных очистных сооружений. Обеспечение работоспособности и отказоустойчивости существующих сетей, на сегодняшний день, является перспективным. Постепенный вывод водозаборных сооружений за территорию населенных пунктов, проведение оценочных и разведочных работ на действующих водозаборах.</w:t>
      </w:r>
    </w:p>
    <w:p>
      <w:pPr>
        <w:pStyle w:val="Normal"/>
        <w:spacing w:before="0" w:after="60"/>
        <w:rPr/>
      </w:pPr>
      <w:r>
        <w:rPr/>
        <w:t>Развитие систем водоснабжения на период до 2032 года учитывает увеличение размера застраиваемой территории, улучшение качества жизни населения и предусматривает:</w:t>
      </w:r>
    </w:p>
    <w:p>
      <w:pPr>
        <w:pStyle w:val="Normal"/>
        <w:spacing w:before="0" w:after="60"/>
        <w:rPr/>
      </w:pPr>
      <w:r>
        <w:rPr/>
        <w:t>Проектом предлагается дальнейшее развитие систем централизованного водоснабжения Чугуевского муниципального округа.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водоснабжения, для этого необходимо строительство внутриквартальных водопроводных сетей с устройством вводов в дома.</w:t>
      </w:r>
    </w:p>
    <w:p>
      <w:pPr>
        <w:pStyle w:val="Normal"/>
        <w:spacing w:before="0" w:after="60"/>
        <w:rPr/>
      </w:pPr>
      <w:r>
        <w:rPr/>
        <w:t>Существующие сети водопровода в с. Чугуевка, находящиеся в неудовлетворительном состоянии, подлежат перекладке с заменой трубы и колодцев на новые из современных материалов.</w:t>
      </w:r>
    </w:p>
    <w:p>
      <w:pPr>
        <w:pStyle w:val="Normal"/>
        <w:spacing w:before="0" w:after="60"/>
        <w:rPr/>
      </w:pPr>
      <w:r>
        <w:rPr/>
        <w:t>В целях экономии питьевой воды проектом предусматривается:</w:t>
      </w:r>
    </w:p>
    <w:p>
      <w:pPr>
        <w:pStyle w:val="Normal"/>
        <w:spacing w:before="0" w:after="60"/>
        <w:rPr/>
      </w:pPr>
      <w:r>
        <w:rPr/>
        <w:t>- в процессе эксплуатации скважин для определения стабильности качества воды и уровенного режима приступить к ведению мониторинга подземных вод (стационарные режимные наблюдения за дебитом, уровнем, температурой и химическим составом воды). Частота наблюдения должна быть обоснована специальной программой;</w:t>
      </w:r>
    </w:p>
    <w:p>
      <w:pPr>
        <w:pStyle w:val="Normal"/>
        <w:spacing w:before="0" w:after="60"/>
        <w:rPr/>
      </w:pPr>
      <w:r>
        <w:rPr/>
        <w:t>- контроль качества производить в соответствии с СанПиН 1.2.3684-21 с обязательным определением содержания железа и органолептических показателей;</w:t>
      </w:r>
    </w:p>
    <w:p>
      <w:pPr>
        <w:pStyle w:val="Normal"/>
        <w:spacing w:before="0" w:after="60"/>
        <w:rPr/>
      </w:pPr>
      <w:r>
        <w:rPr/>
        <w:t>- выполнить ограждение I пояса ЗСО для всех артезианских скважин;</w:t>
      </w:r>
    </w:p>
    <w:p>
      <w:pPr>
        <w:pStyle w:val="Normal"/>
        <w:spacing w:before="0" w:after="60"/>
        <w:rPr/>
      </w:pPr>
      <w:r>
        <w:rPr/>
        <w:t>- в пределах I – III поясов ЗСО скважин разработать комплекс водоохранных мероприятий в соответствии с СанПиН 2.1.4.1110-02 и согласовать его с районным ЦГСЭН;</w:t>
      </w:r>
    </w:p>
    <w:p>
      <w:pPr>
        <w:pStyle w:val="Normal"/>
        <w:spacing w:before="0" w:after="60"/>
        <w:rPr/>
      </w:pPr>
      <w:r>
        <w:rPr/>
        <w:t>- тампонирование не используемых артезианских скважин специальными тампо-нажными смесями, с последующим восстановлением естественного состояния водовмещающих горизонтов;</w:t>
      </w:r>
    </w:p>
    <w:p>
      <w:pPr>
        <w:pStyle w:val="Normal"/>
        <w:spacing w:before="0" w:after="60"/>
        <w:rPr/>
      </w:pPr>
      <w:r>
        <w:rPr/>
        <w:t>-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воды;</w:t>
      </w:r>
    </w:p>
    <w:p>
      <w:pPr>
        <w:pStyle w:val="Normal"/>
        <w:spacing w:before="0" w:after="60"/>
        <w:rPr/>
      </w:pPr>
      <w:r>
        <w:rPr/>
        <w:t>- снижение промышленного водопотребления за счет обновления технологических процессов и использования очищенных стоков вод в производстве;</w:t>
      </w:r>
    </w:p>
    <w:p>
      <w:pPr>
        <w:pStyle w:val="Normal"/>
        <w:spacing w:before="0" w:after="60"/>
        <w:rPr/>
      </w:pPr>
      <w:r>
        <w:rPr/>
        <w:t>- внедрение систем учета потребления питьевой воды, как для промпредприятий, так и для населения.</w:t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 xml:space="preserve">Также предусматривается: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в жилом секторе провести установку водомерных устройств;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промывка и дезинфекция водопроводных сетей, водонапорных башен и резервуаров; 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обеспечение эксплуатационной надежности и безопасности систем водоснабжения как части коммунальных систем жизнеобеспечения населения; 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обеспечение рационального использования водыпитьевого качества, выполнение природоохранных требований;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 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оптимизация инфраструктуры и повышение эффективности капитальных вложений, создание благоприятного инвестиционного климата;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домах; 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сооружений.</w:t>
      </w:r>
    </w:p>
    <w:p>
      <w:pPr>
        <w:pStyle w:val="Normal"/>
        <w:spacing w:before="0" w:after="120"/>
        <w:rPr/>
      </w:pPr>
      <w:r>
        <w:rPr/>
        <w:t xml:space="preserve">В остальных населенных пунктах, где не предусматривается развитие централизованной системы водоснабжения, источниками водоснабжения остаются шахтные децентрализованные колодцы и индивидуальные артезианские скважины. Водоснабжение отдельно расположенных объектов сельскохозяйственного, рекреационного назначения будет производиться от собственных артезианских скважин. </w:t>
      </w:r>
    </w:p>
    <w:p>
      <w:pPr>
        <w:pStyle w:val="Normal"/>
        <w:spacing w:before="0" w:after="120"/>
        <w:rPr/>
      </w:pPr>
      <w:r>
        <w:rPr/>
        <w:t>В результате реализации мероприятий Программы предполагается:</w:t>
      </w:r>
    </w:p>
    <w:p>
      <w:pPr>
        <w:pStyle w:val="Normal"/>
        <w:spacing w:before="0" w:after="120"/>
        <w:rPr/>
      </w:pPr>
      <w:r>
        <w:rPr/>
        <w:t>- повышение качества предоставляемых жилищно-коммунальных услуг, рост обеспеченности населения питьевой водой, соответствующей установленным нормативным требованиям, снижение количества аварийных ремонтов водопроводных сетей и оборудования за счет обновления и улучшения надежности работы инженерных сетей жилищно-коммунального хозяйства;</w:t>
      </w:r>
    </w:p>
    <w:p>
      <w:pPr>
        <w:pStyle w:val="Normal"/>
        <w:spacing w:before="0" w:after="120"/>
        <w:rPr/>
      </w:pPr>
      <w:r>
        <w:rPr/>
        <w:t>- обеспечение доступа для населения к централизованным системам водоснабжения, водоотведения и очистки сточных вод, что приведет к повышению качества жизни граждан;</w:t>
      </w:r>
    </w:p>
    <w:p>
      <w:pPr>
        <w:pStyle w:val="Normal"/>
        <w:spacing w:before="0" w:after="120"/>
        <w:rPr/>
      </w:pPr>
      <w:r>
        <w:rPr/>
        <w:t>- снижение нерациональных затрат предприятий отрасли ЖКХ при предоставлении жилищно-коммунальных услуг;</w:t>
      </w:r>
    </w:p>
    <w:p>
      <w:pPr>
        <w:pStyle w:val="Normal"/>
        <w:spacing w:before="0" w:after="120"/>
        <w:rPr/>
      </w:pPr>
      <w:r>
        <w:rPr/>
        <w:t>- создание экономических условий по стимулированию предприятий ЖКХ к эффективному и рациональному хозяйствованию, совершенствованию тарифной политики, а также максимальное использование собственных ресурсов и возможностей для качественного, устойчивого, экономически выгодного и социально приемлемого обслуживания потребителей.</w:t>
      </w:r>
    </w:p>
    <w:p>
      <w:pPr>
        <w:pStyle w:val="Normal"/>
        <w:spacing w:lineRule="auto" w:line="240" w:before="0" w:after="0"/>
        <w:ind w:hanging="0"/>
        <w:jc w:val="left"/>
        <w:rPr>
          <w:rFonts w:eastAsia="Times New Roman"/>
          <w:b/>
          <w:b/>
          <w:bCs/>
          <w:szCs w:val="26"/>
        </w:rPr>
      </w:pPr>
      <w:r>
        <w:rPr>
          <w:rFonts w:eastAsia="Times New Roman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26" w:name="_Toc107492606"/>
      <w:r>
        <w:rPr/>
        <w:t>БАЛАНС ВОДОСНАБЖЕНИЯ И ПОТРЕБЛЕНИЯ ГОРЯЧЕЙ, ПИТЬЕВОЙ, ТЕХНИЧЕСКОЙ ВОДЫ</w:t>
      </w:r>
      <w:bookmarkEnd w:id="26"/>
    </w:p>
    <w:p>
      <w:pPr>
        <w:pStyle w:val="2"/>
        <w:numPr>
          <w:ilvl w:val="2"/>
          <w:numId w:val="53"/>
        </w:numPr>
        <w:spacing w:lineRule="auto" w:line="240"/>
        <w:rPr>
          <w:szCs w:val="22"/>
        </w:rPr>
      </w:pPr>
      <w:bookmarkStart w:id="27" w:name="_Toc360699221"/>
      <w:bookmarkStart w:id="28" w:name="_Toc107492607"/>
      <w:bookmarkStart w:id="29" w:name="_Toc360699993"/>
      <w:bookmarkStart w:id="30" w:name="_Toc360699607"/>
      <w:bookmarkStart w:id="31" w:name="_Toc375685024"/>
      <w:bookmarkStart w:id="32" w:name="_Toc375683996"/>
      <w:bookmarkEnd w:id="31"/>
      <w:bookmarkEnd w:id="32"/>
      <w:r>
        <w:rPr/>
        <w:t xml:space="preserve">Общий баланс подачи и реализации воды, включая оценку </w:t>
        <w:br/>
        <w:t>и анализ структурных составляющих неучтенных расходов и потерь воды при ее производстве и транспортировке</w:t>
      </w:r>
      <w:bookmarkEnd w:id="27"/>
      <w:bookmarkEnd w:id="28"/>
      <w:bookmarkEnd w:id="29"/>
      <w:bookmarkEnd w:id="30"/>
    </w:p>
    <w:p>
      <w:pPr>
        <w:pStyle w:val="Normal"/>
        <w:spacing w:before="0" w:after="0"/>
        <w:rPr/>
      </w:pPr>
      <w:r>
        <w:rPr/>
        <w:t>Общий водный баланс подачи и реализации воды по муниципальному образованию Чугуевский муниципальный округ за 2021 год представлен в таблице 1.5.1.</w:t>
      </w:r>
    </w:p>
    <w:p>
      <w:pPr>
        <w:pStyle w:val="Normal"/>
        <w:spacing w:before="0" w:after="120"/>
        <w:ind w:hanging="0"/>
        <w:jc w:val="right"/>
        <w:rPr/>
      </w:pPr>
      <w:r>
        <w:rPr/>
        <w:t>Таблица 1.5.1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43"/>
        <w:gridCol w:w="5155"/>
        <w:gridCol w:w="1151"/>
        <w:gridCol w:w="931"/>
        <w:gridCol w:w="1412"/>
        <w:gridCol w:w="912"/>
      </w:tblGrid>
      <w:tr>
        <w:trPr>
          <w:tblHeader w:val="true"/>
          <w:trHeight w:val="20" w:hRule="atLeast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>
        <w:trPr>
          <w:tblHeader w:val="true"/>
          <w:trHeight w:val="20" w:hRule="atLeast"/>
        </w:trPr>
        <w:tc>
          <w:tcPr>
            <w:tcW w:w="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  <w:t>в том числе ГВС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  <w:lang w:eastAsia="ru-RU"/>
              </w:rPr>
              <w:t>Технич.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Поднято воды, всего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296,67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- из поверхностных источников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- из подземных источников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225,46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Пропущено воды через очистные сооружения водозабора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Расходы на технологические нужды водоснабжения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Получено воды со стороны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Потери воды в сетях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Полезный отпуск воды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- собственное потребление организации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- отпуск потребителям (продажа), всего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- населению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198,31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- бюджетные организации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- прочие потребители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Отпуск воды потребителям технического качества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  <w:t>тыс. м</w:t>
            </w:r>
            <w:r>
              <w:rPr>
                <w:rFonts w:eastAsia="Calibr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2"/>
        <w:numPr>
          <w:ilvl w:val="2"/>
          <w:numId w:val="54"/>
        </w:numPr>
        <w:spacing w:lineRule="auto" w:line="240"/>
        <w:rPr>
          <w:szCs w:val="22"/>
        </w:rPr>
      </w:pPr>
      <w:bookmarkStart w:id="33" w:name="_Toc107492608"/>
      <w:r>
        <w:rPr/>
        <w:t>Территориальный водный баланс подачи воды по зонам действия водопроводных сооружений (годовой и в сутки максимального водопотребления)</w:t>
      </w:r>
      <w:bookmarkEnd w:id="33"/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Фактическое потребление (реализация) воды за 2021 год составило 296,67 тыс. м</w:t>
      </w:r>
      <w:r>
        <w:rPr>
          <w:szCs w:val="24"/>
          <w:vertAlign w:val="superscript"/>
        </w:rPr>
        <w:t>3</w:t>
      </w:r>
      <w:r>
        <w:rPr>
          <w:szCs w:val="24"/>
        </w:rPr>
        <w:t>/год, среднесуточный расход составил 812,8 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/сут, в сутки наибольшего </w:t>
      </w:r>
      <w:r>
        <w:rPr/>
        <w:t xml:space="preserve">водопотребления расход составил (при К=1,2, где К – коэффициент суточной </w:t>
      </w:r>
      <w:r>
        <w:rPr>
          <w:szCs w:val="24"/>
        </w:rPr>
        <w:t>неравномерности) 975,36 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/сут. </w:t>
      </w:r>
    </w:p>
    <w:p>
      <w:pPr>
        <w:pStyle w:val="Normal"/>
        <w:spacing w:before="0" w:after="0"/>
        <w:rPr/>
      </w:pPr>
      <w:r>
        <w:rPr/>
        <w:t>На момент разработки настоящей схемы, структура территориального баланса подачи воды представлена в таблице 1.5.2 по зонам действия водопроводных сооружений.</w:t>
      </w:r>
    </w:p>
    <w:p>
      <w:pPr>
        <w:pStyle w:val="Normal"/>
        <w:spacing w:before="0" w:after="120"/>
        <w:ind w:hanging="0"/>
        <w:jc w:val="right"/>
        <w:rPr/>
      </w:pPr>
      <w:r>
        <w:rPr/>
        <w:t>Таблица 1.5.2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6"/>
        <w:gridCol w:w="2357"/>
        <w:gridCol w:w="2776"/>
        <w:gridCol w:w="3057"/>
        <w:gridCol w:w="1489"/>
      </w:tblGrid>
      <w:tr>
        <w:trPr>
          <w:trHeight w:val="20" w:hRule="atLeast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Calibri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В суточного водопотр-я, куб.м/сут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суточного мак-го водопотр-я, куб.м/сут</w:t>
            </w:r>
          </w:p>
        </w:tc>
        <w:tc>
          <w:tcPr>
            <w:tcW w:w="14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Годовая, тыс.куб.м/год</w:t>
            </w:r>
          </w:p>
        </w:tc>
      </w:tr>
      <w:tr>
        <w:trPr>
          <w:trHeight w:val="359" w:hRule="atLeast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eastAsia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с. Чугуевка</w:t>
            </w:r>
          </w:p>
        </w:tc>
        <w:tc>
          <w:tcPr>
            <w:tcW w:w="2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812,8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975,36</w:t>
            </w:r>
          </w:p>
        </w:tc>
        <w:tc>
          <w:tcPr>
            <w:tcW w:w="14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296,67</w:t>
            </w:r>
          </w:p>
        </w:tc>
      </w:tr>
    </w:tbl>
    <w:p>
      <w:pPr>
        <w:pStyle w:val="2"/>
        <w:numPr>
          <w:ilvl w:val="2"/>
          <w:numId w:val="55"/>
        </w:numPr>
        <w:spacing w:lineRule="auto" w:line="240"/>
        <w:rPr>
          <w:szCs w:val="22"/>
        </w:rPr>
      </w:pPr>
      <w:bookmarkStart w:id="34" w:name="_Toc107492609"/>
      <w:r>
        <w:rPr>
          <w:rStyle w:val="FontStyle157"/>
          <w:rFonts w:eastAsia="" w:eastAsiaTheme="majorEastAsia"/>
          <w:b/>
          <w:sz w:val="24"/>
          <w:szCs w:val="28"/>
          <w:lang w:eastAsia="en-US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(пожаротушение, полив и др.)</w:t>
      </w:r>
      <w:bookmarkEnd w:id="34"/>
    </w:p>
    <w:p>
      <w:pPr>
        <w:pStyle w:val="Normal"/>
        <w:spacing w:before="0" w:after="0"/>
        <w:rPr/>
      </w:pPr>
      <w:r>
        <w:rPr>
          <w:bCs/>
          <w:szCs w:val="26"/>
        </w:rPr>
        <w:t>Структура водопотребления по группам потребителей</w:t>
      </w:r>
      <w:r>
        <w:rPr/>
        <w:t xml:space="preserve"> </w:t>
      </w:r>
      <w:r>
        <w:rPr>
          <w:bCs/>
          <w:szCs w:val="26"/>
        </w:rPr>
        <w:t xml:space="preserve">скважины ООО «Водолей» </w:t>
      </w:r>
      <w:r>
        <w:rPr/>
        <w:t>представлена в таблице 1.5.3 и диаграмме 1.5.1.</w:t>
      </w:r>
    </w:p>
    <w:p>
      <w:pPr>
        <w:pStyle w:val="Normal"/>
        <w:spacing w:before="0" w:after="120"/>
        <w:ind w:hanging="0"/>
        <w:jc w:val="right"/>
        <w:rPr/>
      </w:pPr>
      <w:r>
        <w:rPr/>
      </w:r>
    </w:p>
    <w:p>
      <w:pPr>
        <w:pStyle w:val="Normal"/>
        <w:spacing w:before="0" w:after="120"/>
        <w:ind w:hanging="0"/>
        <w:jc w:val="right"/>
        <w:rPr/>
      </w:pPr>
      <w:r>
        <w:rPr/>
      </w:r>
    </w:p>
    <w:p>
      <w:pPr>
        <w:pStyle w:val="Normal"/>
        <w:spacing w:before="0" w:after="120"/>
        <w:ind w:hanging="0"/>
        <w:jc w:val="right"/>
        <w:rPr/>
      </w:pPr>
      <w:r>
        <w:rPr/>
      </w:r>
    </w:p>
    <w:p>
      <w:pPr>
        <w:pStyle w:val="Normal"/>
        <w:spacing w:before="0" w:after="120"/>
        <w:ind w:hanging="0"/>
        <w:jc w:val="right"/>
        <w:rPr/>
      </w:pPr>
      <w:r>
        <w:rPr/>
        <w:t>Таблица 1.5.3</w:t>
      </w:r>
    </w:p>
    <w:tbl>
      <w:tblPr>
        <w:tblpPr w:bottomFromText="0" w:horzAnchor="text" w:leftFromText="180" w:rightFromText="180" w:tblpX="0" w:tblpY="1" w:topFromText="0" w:vertAnchor="text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99"/>
        <w:gridCol w:w="4164"/>
        <w:gridCol w:w="5242"/>
      </w:tblGrid>
      <w:tr>
        <w:trPr>
          <w:trHeight w:val="13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</w:rPr>
            </w:pPr>
            <w:r>
              <w:rPr>
                <w:rFonts w:eastAsia="Calibri" w:eastAsiaTheme="minorHAnsi"/>
                <w:b/>
                <w:sz w:val="20"/>
                <w:szCs w:val="20"/>
              </w:rPr>
              <w:t xml:space="preserve">№ </w:t>
            </w:r>
            <w:r>
              <w:rPr>
                <w:rFonts w:eastAsia="Calibri" w:eastAsiaTheme="minorHAnsi"/>
                <w:b/>
                <w:sz w:val="20"/>
                <w:szCs w:val="20"/>
              </w:rPr>
              <w:t>п/п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</w:rPr>
            </w:pPr>
            <w:r>
              <w:rPr>
                <w:rFonts w:eastAsia="Calibri" w:eastAsiaTheme="minorHAnsi"/>
                <w:b/>
                <w:sz w:val="20"/>
                <w:szCs w:val="20"/>
              </w:rPr>
              <w:t>Потребитель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</w:rPr>
            </w:pPr>
            <w:r>
              <w:rPr>
                <w:rFonts w:eastAsia="Calibri" w:eastAsiaTheme="minorHAnsi"/>
                <w:b/>
                <w:sz w:val="20"/>
                <w:szCs w:val="20"/>
              </w:rPr>
              <w:t xml:space="preserve">Объемы реализации воды за </w:t>
            </w:r>
            <w:r>
              <w:rPr>
                <w:rFonts w:eastAsia="Calibri" w:eastAsiaTheme="minorHAnsi"/>
                <w:b/>
                <w:sz w:val="20"/>
                <w:szCs w:val="20"/>
                <w:u w:val="single"/>
              </w:rPr>
              <w:t>2021 год</w:t>
            </w:r>
            <w:r>
              <w:rPr>
                <w:rFonts w:eastAsia="Calibri" w:eastAsiaTheme="minorHAnsi"/>
                <w:b/>
                <w:sz w:val="20"/>
                <w:szCs w:val="20"/>
              </w:rPr>
              <w:t>, тыс. м</w:t>
            </w:r>
            <w:r>
              <w:rPr>
                <w:rFonts w:eastAsia="Calibri" w:eastAsiaTheme="minorHAnsi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eastAsiaTheme="minorHAnsi"/>
                <w:b/>
                <w:sz w:val="20"/>
                <w:szCs w:val="20"/>
              </w:rPr>
              <w:t>/год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</w:rPr>
              <w:t>Население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198,31</w:t>
            </w:r>
          </w:p>
        </w:tc>
      </w:tr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</w:rPr>
              <w:t>Бюджетные организации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>
          <w:trHeight w:val="25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</w:rPr>
              <w:t>Прочие потребители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32,34</w:t>
            </w:r>
          </w:p>
        </w:tc>
      </w:tr>
    </w:tbl>
    <w:p>
      <w:pPr>
        <w:pStyle w:val="Normal"/>
        <w:spacing w:before="0" w:after="120"/>
        <w:ind w:hanging="0"/>
        <w:jc w:val="right"/>
        <w:rPr/>
      </w:pPr>
      <w:r>
        <w:rPr/>
      </w:r>
    </w:p>
    <w:p>
      <w:pPr>
        <w:pStyle w:val="Normal"/>
        <w:spacing w:before="0" w:after="120"/>
        <w:ind w:hanging="0"/>
        <w:jc w:val="right"/>
        <w:rPr/>
      </w:pPr>
      <w:r>
        <w:rPr/>
        <w:t>Диаграмма 1.5.1</w:t>
      </w:r>
    </w:p>
    <w:p>
      <w:pPr>
        <w:pStyle w:val="Normal"/>
        <w:spacing w:before="0" w:after="120"/>
        <w:ind w:hanging="0"/>
        <w:jc w:val="center"/>
        <w:rPr/>
      </w:pPr>
      <w:r>
        <w:rPr/>
        <w:drawing>
          <wp:inline distT="0" distB="0" distL="0" distR="0">
            <wp:extent cx="5339080" cy="3219450"/>
            <wp:effectExtent l="0" t="0" r="0" b="0"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/>
      </w:pPr>
      <w:r>
        <w:rPr/>
        <w:t>Основным потребителем воды на территории Чугуевского муниципального округа является население.</w:t>
      </w:r>
    </w:p>
    <w:p>
      <w:pPr>
        <w:pStyle w:val="2"/>
        <w:numPr>
          <w:ilvl w:val="2"/>
          <w:numId w:val="56"/>
        </w:numPr>
        <w:spacing w:lineRule="auto" w:line="240"/>
        <w:rPr>
          <w:szCs w:val="22"/>
        </w:rPr>
      </w:pPr>
      <w:bookmarkStart w:id="35" w:name="_Toc360699385"/>
      <w:bookmarkStart w:id="36" w:name="_Toc360699771"/>
      <w:bookmarkStart w:id="37" w:name="_Toc360700157"/>
      <w:bookmarkStart w:id="38" w:name="_Toc107492610"/>
      <w:bookmarkStart w:id="39" w:name="_Toc360699392"/>
      <w:bookmarkStart w:id="40" w:name="_Toc373745171"/>
      <w:bookmarkStart w:id="41" w:name="_Toc360700164"/>
      <w:bookmarkStart w:id="42" w:name="_Toc360699778"/>
      <w:bookmarkEnd w:id="39"/>
      <w:bookmarkEnd w:id="41"/>
      <w:bookmarkEnd w:id="42"/>
      <w:r>
        <w:rPr/>
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  <w:bookmarkEnd w:id="35"/>
      <w:bookmarkEnd w:id="36"/>
      <w:bookmarkEnd w:id="37"/>
      <w:bookmarkEnd w:id="38"/>
    </w:p>
    <w:p>
      <w:pPr>
        <w:pStyle w:val="Normal"/>
        <w:spacing w:before="0" w:after="120"/>
        <w:rPr/>
      </w:pPr>
      <w:r>
        <w:rPr/>
        <w:t xml:space="preserve">Фактическое потребление воды населением Чугуевского муниципального округа за 2021 год составило </w:t>
      </w:r>
      <w:r>
        <w:rPr>
          <w:szCs w:val="24"/>
        </w:rPr>
        <w:t>296,67</w:t>
      </w:r>
      <w:r>
        <w:rPr/>
        <w:t xml:space="preserve"> тыс. м</w:t>
      </w:r>
      <w:r>
        <w:rPr>
          <w:vertAlign w:val="superscript"/>
        </w:rPr>
        <w:t>3</w:t>
      </w:r>
      <w:r>
        <w:rPr/>
        <w:t xml:space="preserve">/год, среднесуточное водопотребление составило </w:t>
      </w:r>
      <w:r>
        <w:rPr>
          <w:szCs w:val="24"/>
        </w:rPr>
        <w:t xml:space="preserve">812,8 </w:t>
      </w:r>
      <w:r>
        <w:rPr/>
        <w:t>м</w:t>
      </w:r>
      <w:r>
        <w:rPr>
          <w:vertAlign w:val="superscript"/>
        </w:rPr>
        <w:t>3</w:t>
      </w:r>
      <w:r>
        <w:rPr/>
        <w:t>/сут.</w:t>
      </w:r>
      <w:bookmarkStart w:id="43" w:name="_Toc373745172"/>
      <w:bookmarkEnd w:id="40"/>
    </w:p>
    <w:p>
      <w:pPr>
        <w:pStyle w:val="Normal"/>
        <w:rPr>
          <w:bCs/>
        </w:rPr>
      </w:pPr>
      <w:r>
        <w:rPr/>
        <w:t>Действующие нормативы потребления холодного водоснабжения утверждены Постановлением департамента по тарифам Приморского края от 26 июня 2013 года N 39/36 «Об установлении нормативов потребления коммунальных услуг по холодному и горячему водоснабжению, водоотведению на территории Чугуевского муниципального округа Приморского края» (с изменениями на 25 августа 2021 года) (в ред. Постановлений департамента по тарифам Приморского края от 03.07.2013 N 40/31, от 12.08.2015 N 33/27, от 20.07.2016 N 34/29, Постановления агентства по тарифам Приморского края от 25.08.2021 N 28/3) представлены в таблице 1.5.4.</w:t>
      </w:r>
    </w:p>
    <w:p>
      <w:pPr>
        <w:pStyle w:val="Normal"/>
        <w:spacing w:before="0" w:after="0"/>
        <w:ind w:hanging="0"/>
        <w:jc w:val="right"/>
        <w:rPr>
          <w:bCs/>
        </w:rPr>
      </w:pPr>
      <w:r>
        <w:rPr>
          <w:bCs/>
        </w:rPr>
      </w:r>
    </w:p>
    <w:p>
      <w:pPr>
        <w:pStyle w:val="Normal"/>
        <w:spacing w:before="0" w:after="0"/>
        <w:ind w:hanging="0"/>
        <w:jc w:val="right"/>
        <w:rPr>
          <w:bCs/>
        </w:rPr>
      </w:pPr>
      <w:r>
        <w:rPr>
          <w:bCs/>
        </w:rPr>
      </w:r>
    </w:p>
    <w:p>
      <w:pPr>
        <w:pStyle w:val="Normal"/>
        <w:spacing w:before="0" w:after="0"/>
        <w:ind w:hanging="0"/>
        <w:jc w:val="right"/>
        <w:rPr>
          <w:bCs/>
        </w:rPr>
      </w:pPr>
      <w:r>
        <w:rPr>
          <w:bCs/>
        </w:rPr>
      </w:r>
    </w:p>
    <w:p>
      <w:pPr>
        <w:pStyle w:val="Normal"/>
        <w:spacing w:before="0" w:after="0"/>
        <w:ind w:hanging="0"/>
        <w:jc w:val="right"/>
        <w:rPr>
          <w:bCs/>
        </w:rPr>
      </w:pPr>
      <w:r>
        <w:rPr>
          <w:bCs/>
        </w:rPr>
      </w:r>
    </w:p>
    <w:p>
      <w:pPr>
        <w:pStyle w:val="Normal"/>
        <w:spacing w:before="0" w:after="0"/>
        <w:ind w:hanging="0"/>
        <w:jc w:val="right"/>
        <w:rPr>
          <w:bCs/>
        </w:rPr>
      </w:pPr>
      <w:r>
        <w:rPr>
          <w:bCs/>
        </w:rPr>
      </w:r>
    </w:p>
    <w:p>
      <w:pPr>
        <w:pStyle w:val="Normal"/>
        <w:spacing w:before="0" w:after="0"/>
        <w:ind w:hanging="0"/>
        <w:jc w:val="right"/>
        <w:rPr>
          <w:bCs/>
        </w:rPr>
      </w:pPr>
      <w:r>
        <w:rPr>
          <w:bCs/>
        </w:rPr>
      </w:r>
    </w:p>
    <w:p>
      <w:pPr>
        <w:pStyle w:val="Normal"/>
        <w:spacing w:before="0" w:after="0"/>
        <w:ind w:hanging="0"/>
        <w:jc w:val="right"/>
        <w:rPr>
          <w:bCs/>
        </w:rPr>
      </w:pPr>
      <w:r>
        <w:rPr>
          <w:bCs/>
        </w:rPr>
      </w:r>
    </w:p>
    <w:p>
      <w:pPr>
        <w:pStyle w:val="Normal"/>
        <w:spacing w:before="0" w:after="0"/>
        <w:ind w:hanging="0"/>
        <w:jc w:val="right"/>
        <w:rPr>
          <w:bCs/>
        </w:rPr>
      </w:pPr>
      <w:r>
        <w:rPr>
          <w:bCs/>
        </w:rPr>
      </w:r>
    </w:p>
    <w:p>
      <w:pPr>
        <w:pStyle w:val="Normal"/>
        <w:spacing w:before="0" w:after="0"/>
        <w:ind w:hanging="0"/>
        <w:jc w:val="right"/>
        <w:rPr>
          <w:bCs/>
        </w:rPr>
      </w:pPr>
      <w:r>
        <w:rPr>
          <w:bCs/>
        </w:rPr>
        <w:t xml:space="preserve">Таблица </w:t>
      </w:r>
      <w:r>
        <w:rPr/>
        <w:t>1.</w:t>
      </w:r>
      <w:r>
        <w:rPr>
          <w:bCs/>
        </w:rPr>
        <w:t>5.4</w:t>
      </w:r>
    </w:p>
    <w:p>
      <w:pPr>
        <w:pStyle w:val="Normal"/>
        <w:spacing w:lineRule="auto" w:line="240" w:before="0" w:after="120"/>
        <w:ind w:left="142" w:hanging="0"/>
        <w:jc w:val="center"/>
        <w:rPr/>
      </w:pPr>
      <w:r>
        <w:rPr/>
        <w:t>Нормативы потребления коммунальных услуг по холодному водоснабжению и горячему водоснабжению, водоотведению в жилых помещениях на территории Чугуевского муниципального округа Приморского края</w:t>
      </w:r>
    </w:p>
    <w:tbl>
      <w:tblPr>
        <w:tblW w:w="9929" w:type="dxa"/>
        <w:jc w:val="center"/>
        <w:tblInd w:w="0" w:type="dxa"/>
        <w:tblLayout w:type="fixed"/>
        <w:tblCellMar>
          <w:top w:w="0" w:type="dxa"/>
          <w:left w:w="149" w:type="dxa"/>
          <w:bottom w:w="0" w:type="dxa"/>
          <w:right w:w="149" w:type="dxa"/>
        </w:tblCellMar>
        <w:tblLook w:val="04a0" w:noHBand="0" w:noVBand="1" w:firstColumn="1" w:lastRow="0" w:lastColumn="0" w:firstRow="1"/>
      </w:tblPr>
      <w:tblGrid>
        <w:gridCol w:w="584"/>
        <w:gridCol w:w="4377"/>
        <w:gridCol w:w="1665"/>
        <w:gridCol w:w="1665"/>
        <w:gridCol w:w="1638"/>
      </w:tblGrid>
      <w:tr>
        <w:trPr>
          <w:tblHeader w:val="true"/>
        </w:trPr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4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жилых помещений</w:t>
            </w:r>
          </w:p>
        </w:tc>
        <w:tc>
          <w:tcPr>
            <w:tcW w:w="4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 потребления коммунальной услуги (куб. метр в месяц на 1 человека)</w:t>
            </w:r>
          </w:p>
        </w:tc>
      </w:tr>
      <w:tr>
        <w:trPr>
          <w:tblHeader w:val="true"/>
        </w:trPr>
        <w:tc>
          <w:tcPr>
            <w:tcW w:w="5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37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 сидячими длиной 1200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 длиной 1500 - 1550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2,593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 длиной 1650 - 1700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1,452</w:t>
            </w:r>
          </w:p>
        </w:tc>
      </w:tr>
      <w:tr>
        <w:trPr>
          <w:trHeight w:val="1436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 сидячими длиной 1200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3,252</w:t>
            </w:r>
          </w:p>
        </w:tc>
      </w:tr>
      <w:tr>
        <w:trPr>
          <w:trHeight w:val="1397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 длиной 1500 - 1550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3,502</w:t>
            </w:r>
          </w:p>
        </w:tc>
      </w:tr>
      <w:tr>
        <w:trPr>
          <w:trHeight w:val="1370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 длиной 1650 - 1700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2,052</w:t>
            </w:r>
          </w:p>
        </w:tc>
      </w:tr>
      <w:tr>
        <w:trPr>
          <w:trHeight w:val="1337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 сидячими длиной 1200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 длиной 1500 - 1550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 длиной 1650 - 1700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 сидячими длиной 1200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3,592</w:t>
            </w:r>
          </w:p>
        </w:tc>
      </w:tr>
      <w:tr>
        <w:trPr>
          <w:trHeight w:val="1349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 длиной 1500 - 1550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3,842</w:t>
            </w:r>
          </w:p>
        </w:tc>
      </w:tr>
      <w:tr>
        <w:trPr>
          <w:trHeight w:val="1323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 длиной 1650 - 1700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4,092</w:t>
            </w:r>
          </w:p>
        </w:tc>
      </w:tr>
      <w:tr>
        <w:trPr>
          <w:trHeight w:val="1283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3,092</w:t>
            </w:r>
          </w:p>
        </w:tc>
      </w:tr>
      <w:tr>
        <w:trPr>
          <w:trHeight w:val="883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2,392</w:t>
            </w:r>
          </w:p>
        </w:tc>
      </w:tr>
      <w:tr>
        <w:trPr>
          <w:trHeight w:val="798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 сидячими длиной 1200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 длиной 1500 - 1550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 длиной 1650 - 1700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2,072</w:t>
            </w:r>
          </w:p>
        </w:tc>
      </w:tr>
      <w:tr>
        <w:trPr>
          <w:trHeight w:val="1202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 сидячими длиной 1200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2,892</w:t>
            </w:r>
          </w:p>
        </w:tc>
      </w:tr>
      <w:tr>
        <w:trPr>
          <w:trHeight w:val="143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 длиной 1500 - 1550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3,142</w:t>
            </w:r>
          </w:p>
        </w:tc>
      </w:tr>
      <w:tr>
        <w:trPr>
          <w:trHeight w:val="1253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 длиной 1650 - 1700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мойками,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0,392</w:t>
            </w:r>
          </w:p>
        </w:tc>
      </w:tr>
      <w:tr>
        <w:trPr>
          <w:trHeight w:val="1322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 сидячими длиной 1200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 длиной 1500 - 1550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 длиной 1650 - 1700 мм с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душем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ваннами сидячими длиной 1200 мм с душем, без раковины, без мойки, без унитаза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ваннами длиной 1500 - 1550 мм с душем, без раковины, без мойки, без унитаза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2,822</w:t>
            </w:r>
          </w:p>
        </w:tc>
      </w:tr>
      <w:tr>
        <w:trPr>
          <w:trHeight w:val="1515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ваннами длиной 1650 - 1700 мм с душем, без раковины, без мойки, без унитаза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ваннами, без раковины, без мойки, без унитаза,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душем, без раковины, без мойки, без унитаза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без раковины, без мойки, без унитаза,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</w:t>
            </w:r>
          </w:p>
        </w:tc>
      </w:tr>
      <w:tr>
        <w:trPr>
          <w:trHeight w:val="1337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ваннами, раковинами, мойками, унитазами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душами, раковинами, мойками, унитазами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2,940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раковинами, мойками, унитазами,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ваннами, мойками, унитазами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душами, мойками, унитазами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мойками, унитазами,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ваннами, раковинами, унитазами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душами, раковинами, унитазами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раковинами, унитазами,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1,132</w:t>
            </w:r>
          </w:p>
        </w:tc>
      </w:tr>
      <w:tr>
        <w:trPr>
          <w:trHeight w:val="979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ваннами, раковинами, мойками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2,892</w:t>
            </w:r>
          </w:p>
        </w:tc>
      </w:tr>
      <w:tr>
        <w:trPr>
          <w:trHeight w:val="1049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душами, раковинами, мойками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2,652</w:t>
            </w:r>
          </w:p>
        </w:tc>
      </w:tr>
      <w:tr>
        <w:trPr>
          <w:trHeight w:val="1233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раковинами, мойками,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1,092</w:t>
            </w:r>
          </w:p>
        </w:tc>
      </w:tr>
      <w:tr>
        <w:trPr>
          <w:trHeight w:val="1065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ваннами, раковинами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2,572</w:t>
            </w:r>
          </w:p>
        </w:tc>
      </w:tr>
      <w:tr>
        <w:trPr>
          <w:trHeight w:val="979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душами, раковинами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раковинами,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ваннами, мойками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душами, мойками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мойками,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ваннами, унитазами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душами, унитазами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унитазами,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ваннами, без раковины, без мойки, без унитаза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душами, без раковины, без мойки, без унитаза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1,632</w:t>
            </w:r>
          </w:p>
        </w:tc>
      </w:tr>
      <w:tr>
        <w:trPr/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без раковины, без мойки, без унитаза, без ванны, без душа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</w:t>
            </w:r>
          </w:p>
        </w:tc>
      </w:tr>
    </w:tbl>
    <w:p>
      <w:pPr>
        <w:pStyle w:val="Formattext"/>
        <w:spacing w:beforeAutospacing="0" w:before="0" w:afterAutospacing="0" w:after="0"/>
        <w:textAlignment w:val="baseline"/>
        <w:rPr>
          <w:rFonts w:ascii="Arial" w:hAnsi="Arial" w:cs="Arial"/>
          <w:color w:val="444444"/>
        </w:rPr>
      </w:pPr>
      <w:r>
        <w:rPr>
          <w:rFonts w:cs="Arial" w:ascii="Arial" w:hAnsi="Arial"/>
          <w:color w:val="444444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444444"/>
          <w:sz w:val="22"/>
        </w:rPr>
      </w:pPr>
      <w:r>
        <w:rPr>
          <w:color w:val="444444"/>
          <w:sz w:val="22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444444"/>
          <w:sz w:val="22"/>
        </w:rPr>
      </w:pPr>
      <w:r>
        <w:rPr>
          <w:color w:val="444444"/>
          <w:sz w:val="22"/>
        </w:rPr>
        <w:t>Примечание: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444444"/>
          <w:sz w:val="22"/>
        </w:rPr>
      </w:pPr>
      <w:r>
        <w:rPr>
          <w:color w:val="444444"/>
          <w:sz w:val="22"/>
        </w:rPr>
        <w:t>Нормативы потребления коммунальной услуги по холодному и горячему водоснабжению, водоотведению в жилых помещениях на территории Чугуевского муниципального округа Приморского края, установленные пунктом 1 настоящего постановления, применяются для расчета размера платы за коммунальные услуги в соответствии с Правилами предоставления коммунальных услуг, установленными Правительством Российской Федерации.</w:t>
      </w:r>
    </w:p>
    <w:p>
      <w:pPr>
        <w:pStyle w:val="Normal"/>
        <w:spacing w:before="120" w:after="0"/>
        <w:rPr/>
      </w:pPr>
      <w:bookmarkStart w:id="44" w:name="_Toc373745427"/>
      <w:bookmarkStart w:id="45" w:name="_Toc373745174"/>
      <w:bookmarkEnd w:id="43"/>
      <w:r>
        <w:rPr/>
        <w:t>Исходя из общего количества реализованной воды населению удельное потребление воды представлено в таблице 1.5.5.</w:t>
      </w:r>
      <w:bookmarkEnd w:id="44"/>
      <w:bookmarkEnd w:id="45"/>
    </w:p>
    <w:p>
      <w:pPr>
        <w:pStyle w:val="Normal"/>
        <w:jc w:val="right"/>
        <w:rPr>
          <w:bCs/>
          <w:szCs w:val="26"/>
        </w:rPr>
      </w:pPr>
      <w:bookmarkStart w:id="46" w:name="_Toc381613515"/>
      <w:bookmarkStart w:id="47" w:name="_Toc375685030"/>
      <w:bookmarkStart w:id="48" w:name="_Toc374023472"/>
      <w:bookmarkStart w:id="49" w:name="_Toc373745428"/>
      <w:bookmarkStart w:id="50" w:name="_Toc373745175"/>
      <w:r>
        <w:rPr>
          <w:bCs/>
          <w:szCs w:val="26"/>
        </w:rPr>
        <w:t xml:space="preserve">Таблица </w:t>
      </w:r>
      <w:bookmarkEnd w:id="48"/>
      <w:bookmarkEnd w:id="49"/>
      <w:bookmarkEnd w:id="50"/>
      <w:r>
        <w:rPr/>
        <w:t>1.</w:t>
      </w:r>
      <w:r>
        <w:rPr>
          <w:bCs/>
          <w:szCs w:val="26"/>
        </w:rPr>
        <w:t>5.</w:t>
      </w:r>
      <w:bookmarkEnd w:id="46"/>
      <w:bookmarkEnd w:id="47"/>
      <w:r>
        <w:rPr>
          <w:bCs/>
          <w:szCs w:val="26"/>
        </w:rPr>
        <w:t>5</w:t>
      </w:r>
    </w:p>
    <w:tbl>
      <w:tblPr>
        <w:tblW w:w="47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35"/>
        <w:gridCol w:w="1361"/>
        <w:gridCol w:w="1098"/>
      </w:tblGrid>
      <w:tr>
        <w:trPr>
          <w:trHeight w:val="341" w:hRule="atLeast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>
        <w:trPr>
          <w:trHeight w:val="130" w:hRule="atLeast"/>
        </w:trPr>
        <w:tc>
          <w:tcPr>
            <w:tcW w:w="7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проживающих человек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11781</w:t>
            </w:r>
          </w:p>
        </w:tc>
      </w:tr>
      <w:tr>
        <w:trPr>
          <w:trHeight w:val="130" w:hRule="atLeast"/>
        </w:trPr>
        <w:tc>
          <w:tcPr>
            <w:tcW w:w="7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абонентов, использующих централизованное водоснабжение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</w:t>
            </w:r>
          </w:p>
        </w:tc>
      </w:tr>
      <w:tr>
        <w:trPr>
          <w:trHeight w:val="175" w:hRule="atLeast"/>
        </w:trPr>
        <w:tc>
          <w:tcPr>
            <w:tcW w:w="7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общее количество реализованной воды населению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тыс. м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</w:tr>
      <w:tr>
        <w:trPr>
          <w:trHeight w:val="85" w:hRule="atLeast"/>
        </w:trPr>
        <w:tc>
          <w:tcPr>
            <w:tcW w:w="72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удельное водопотребление холодной воды на 1 человека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л./сут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150,26</w:t>
            </w:r>
          </w:p>
        </w:tc>
      </w:tr>
      <w:tr>
        <w:trPr>
          <w:trHeight w:val="112" w:hRule="atLeast"/>
        </w:trPr>
        <w:tc>
          <w:tcPr>
            <w:tcW w:w="7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/мес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4,51</w:t>
            </w:r>
          </w:p>
        </w:tc>
      </w:tr>
    </w:tbl>
    <w:p>
      <w:pPr>
        <w:pStyle w:val="Normal"/>
        <w:spacing w:before="120" w:after="0"/>
        <w:rPr/>
      </w:pPr>
      <w:r>
        <w:rPr/>
        <w:t>Величины удельного водопотребления населением лежат в пределах существующих норм.</w:t>
      </w:r>
    </w:p>
    <w:p>
      <w:pPr>
        <w:pStyle w:val="Normal"/>
        <w:spacing w:before="120" w:after="120"/>
        <w:rPr/>
      </w:pPr>
      <w:r>
        <w:rPr/>
        <w:t>В период с 2021 по 2032 год ожидается тенденция к увеличению удельного водопотребления жителями Чугуевского муниципального округа, связанная с улучшением жилищных условий, вводом нового жилищного фонда.</w:t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 xml:space="preserve">Удельное среднесуточное водопотребление населенных пунктов и комплексов отдыха принимается в соответствии с ВСН 23-75, нормативов государственных социальных стандартов и приведено в таблице </w:t>
      </w:r>
      <w:r>
        <w:rPr/>
        <w:t>1.</w:t>
      </w:r>
      <w:r>
        <w:rPr>
          <w:szCs w:val="24"/>
        </w:rPr>
        <w:t>5.6.</w:t>
      </w:r>
    </w:p>
    <w:p>
      <w:pPr>
        <w:pStyle w:val="Normal"/>
        <w:spacing w:lineRule="auto" w:line="240" w:before="0" w:after="0"/>
        <w:ind w:hanging="0"/>
        <w:jc w:val="right"/>
        <w:rPr>
          <w:szCs w:val="24"/>
        </w:rPr>
      </w:pPr>
      <w:r>
        <w:rPr>
          <w:szCs w:val="24"/>
        </w:rPr>
        <w:t xml:space="preserve">Таблица </w:t>
      </w:r>
      <w:r>
        <w:rPr/>
        <w:t>1.</w:t>
      </w:r>
      <w:r>
        <w:rPr>
          <w:szCs w:val="24"/>
        </w:rPr>
        <w:t>5.6</w:t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27"/>
        <w:gridCol w:w="1938"/>
        <w:gridCol w:w="2323"/>
      </w:tblGrid>
      <w:tr>
        <w:trPr>
          <w:tblHeader w:val="true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Водопотребители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Единица измерения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Удельное водопотребление</w:t>
            </w:r>
          </w:p>
        </w:tc>
      </w:tr>
      <w:tr>
        <w:trPr/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rPr>
                <w:sz w:val="20"/>
              </w:rPr>
            </w:pPr>
            <w:r>
              <w:rPr>
                <w:sz w:val="20"/>
              </w:rPr>
              <w:t>Рабочие поселки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280**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</w:tr>
      <w:tr>
        <w:trPr/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rPr>
                <w:sz w:val="20"/>
              </w:rPr>
            </w:pPr>
            <w:r>
              <w:rPr>
                <w:sz w:val="20"/>
              </w:rPr>
              <w:t xml:space="preserve">Поселения 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и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 xml:space="preserve"> типов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250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/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rPr>
                <w:sz w:val="20"/>
              </w:rPr>
            </w:pPr>
            <w:r>
              <w:rPr>
                <w:sz w:val="20"/>
              </w:rPr>
              <w:t xml:space="preserve">Поселения 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 xml:space="preserve"> типа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200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>
        <w:trPr/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rPr>
                <w:sz w:val="20"/>
              </w:rPr>
            </w:pPr>
            <w:r>
              <w:rPr>
                <w:sz w:val="20"/>
              </w:rPr>
              <w:t>Рядовые поселения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100-125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25-70</w:t>
            </w:r>
          </w:p>
        </w:tc>
      </w:tr>
      <w:tr>
        <w:trPr/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rPr>
                <w:sz w:val="20"/>
              </w:rPr>
            </w:pPr>
            <w:r>
              <w:rPr>
                <w:sz w:val="20"/>
              </w:rPr>
              <w:t>Животноводство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л/сут. на 1 животное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1-100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1-80</w:t>
            </w:r>
          </w:p>
        </w:tc>
      </w:tr>
      <w:tr>
        <w:trPr/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rPr>
                <w:sz w:val="20"/>
              </w:rPr>
            </w:pPr>
            <w:r>
              <w:rPr>
                <w:sz w:val="20"/>
              </w:rPr>
              <w:t>Учреждения отдыха: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rPr>
                <w:sz w:val="20"/>
              </w:rPr>
            </w:pPr>
            <w:r>
              <w:rPr>
                <w:sz w:val="20"/>
              </w:rPr>
              <w:t>- санатории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350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>
        <w:trPr/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rPr>
                <w:sz w:val="20"/>
              </w:rPr>
            </w:pPr>
            <w:r>
              <w:rPr>
                <w:sz w:val="20"/>
              </w:rPr>
              <w:t>- детский отдых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200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>
        <w:trPr/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rPr>
                <w:sz w:val="20"/>
              </w:rPr>
            </w:pPr>
            <w:r>
              <w:rPr>
                <w:sz w:val="20"/>
              </w:rPr>
              <w:t>- кратковременный отдых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10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>
      <w:pPr>
        <w:pStyle w:val="Normal"/>
        <w:spacing w:before="60" w:after="120"/>
        <w:ind w:hanging="0"/>
        <w:rPr>
          <w:sz w:val="20"/>
          <w:szCs w:val="20"/>
        </w:rPr>
      </w:pPr>
      <w:r>
        <w:rPr>
          <w:sz w:val="20"/>
          <w:szCs w:val="20"/>
        </w:rPr>
        <w:t xml:space="preserve">Примечание: ** в числителе – водопотребление, в знаменателе – водоотведение. </w:t>
      </w:r>
    </w:p>
    <w:p>
      <w:pPr>
        <w:pStyle w:val="Normal"/>
        <w:spacing w:before="0" w:after="120"/>
        <w:rPr/>
      </w:pPr>
      <w:r>
        <w:rPr/>
        <w:t>Принятое удельное среднесуточное водопотребление населением включает расходы воды на хозяйственно-питьевые нужды в жилых и общественных зданиях, нужды местной промышленности, полив улиц и зеленых насаждений, полив приусадебных участков, нужды домашнего животноводства в населенных пунктах, неучтенные расходы.</w:t>
      </w:r>
    </w:p>
    <w:p>
      <w:pPr>
        <w:pStyle w:val="Normal"/>
        <w:rPr/>
      </w:pPr>
      <w:r>
        <w:rPr/>
        <w:t xml:space="preserve">Расход воды в местах отдыха рассчитан на максимальную нагрузку, т.е. летний период и в принятые нормы включены (кроме полива) дополнительные расходы воды на групповые душевые и ножные ванны в бытовых зданиях, на стирку белья в прачечных, на приготовление пищи на предприятиях общественного питания. </w:t>
      </w:r>
    </w:p>
    <w:p>
      <w:pPr>
        <w:pStyle w:val="2"/>
        <w:numPr>
          <w:ilvl w:val="2"/>
          <w:numId w:val="57"/>
        </w:numPr>
        <w:spacing w:lineRule="auto" w:line="240"/>
        <w:rPr>
          <w:szCs w:val="22"/>
        </w:rPr>
      </w:pPr>
      <w:bookmarkStart w:id="51" w:name="_Toc360699392"/>
      <w:bookmarkStart w:id="52" w:name="_Toc360700164"/>
      <w:bookmarkStart w:id="53" w:name="_Toc360699778"/>
      <w:bookmarkStart w:id="54" w:name="_Toc360699779"/>
      <w:bookmarkStart w:id="55" w:name="_Toc360699393"/>
      <w:bookmarkStart w:id="56" w:name="_Toc360700165"/>
      <w:bookmarkStart w:id="57" w:name="_Toc107492611"/>
      <w:bookmarkEnd w:id="51"/>
      <w:bookmarkEnd w:id="52"/>
      <w:bookmarkEnd w:id="53"/>
      <w:r>
        <w:rPr/>
        <w:t xml:space="preserve">Описание существующей системы коммерческого учета </w:t>
      </w:r>
      <w:bookmarkEnd w:id="54"/>
      <w:bookmarkEnd w:id="55"/>
      <w:bookmarkEnd w:id="56"/>
      <w:r>
        <w:rPr/>
        <w:t>горячей, питьевой, технической воды и планов по установке приборов учета</w:t>
      </w:r>
      <w:bookmarkEnd w:id="57"/>
    </w:p>
    <w:p>
      <w:pPr>
        <w:pStyle w:val="Normal"/>
        <w:spacing w:before="0" w:after="0"/>
        <w:rPr/>
      </w:pPr>
      <w:r>
        <w:rPr/>
        <w:t>Согласно Федерального закона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</w:t>
      </w:r>
    </w:p>
    <w:p>
      <w:pPr>
        <w:pStyle w:val="Normal"/>
        <w:spacing w:before="0" w:after="0"/>
        <w:rPr/>
      </w:pPr>
      <w:r>
        <w:rPr/>
        <w:t>В соответствии с Федеральным законом (в ред. от 18.07.2011) от 23.11.2009 № 261-ФЗ до 1 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</w:p>
    <w:p>
      <w:pPr>
        <w:pStyle w:val="Normal"/>
        <w:spacing w:before="0" w:after="120"/>
        <w:rPr/>
      </w:pPr>
      <w:r>
        <w:rPr/>
        <w:t>С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>
      <w:pPr>
        <w:pStyle w:val="Normal"/>
        <w:spacing w:before="0" w:after="0"/>
        <w:rPr/>
      </w:pPr>
      <w:r>
        <w:rPr/>
        <w:t>Бюджетные организации и большая часть населения оснащены приборами учета холодной воды.</w:t>
      </w:r>
    </w:p>
    <w:p>
      <w:pPr>
        <w:pStyle w:val="Normal"/>
        <w:spacing w:before="0" w:after="0"/>
        <w:rPr/>
      </w:pPr>
      <w:r>
        <w:rPr/>
        <w:t>Сведения по приборам учета на сооружениях водоснабжения отсутствуют.</w:t>
      </w:r>
    </w:p>
    <w:p>
      <w:pPr>
        <w:pStyle w:val="Normal"/>
        <w:spacing w:before="0" w:after="0"/>
        <w:rPr/>
      </w:pPr>
      <w:r>
        <w:rPr/>
        <w:t>На ближайшую перспективу необходимо в первую очередь оборудовать приборами учета всех абонентов централизованной системы водоснабжения.</w:t>
      </w:r>
    </w:p>
    <w:p>
      <w:pPr>
        <w:pStyle w:val="2"/>
        <w:numPr>
          <w:ilvl w:val="2"/>
          <w:numId w:val="58"/>
        </w:numPr>
        <w:spacing w:lineRule="auto" w:line="240"/>
        <w:rPr>
          <w:szCs w:val="22"/>
        </w:rPr>
      </w:pPr>
      <w:bookmarkStart w:id="58" w:name="_Toc375685032"/>
      <w:bookmarkStart w:id="59" w:name="_Toc375684004"/>
      <w:bookmarkStart w:id="60" w:name="_Toc375685033"/>
      <w:bookmarkStart w:id="61" w:name="_Toc107492612"/>
      <w:bookmarkStart w:id="62" w:name="_Toc375684005"/>
      <w:bookmarkEnd w:id="58"/>
      <w:bookmarkEnd w:id="59"/>
      <w:bookmarkEnd w:id="60"/>
      <w:bookmarkEnd w:id="62"/>
      <w:r>
        <w:rPr/>
        <w:t>Анализ резервов и дефицитов производственных мощностей системы водоснабжения поселения</w:t>
      </w:r>
      <w:bookmarkEnd w:id="61"/>
    </w:p>
    <w:p>
      <w:pPr>
        <w:pStyle w:val="Normal"/>
        <w:rPr/>
      </w:pPr>
      <w:r>
        <w:rPr/>
        <w:t xml:space="preserve">Запас производственной мощности водозаборных сооружений представлен в таблице 1.5.7. </w:t>
      </w:r>
    </w:p>
    <w:p>
      <w:pPr>
        <w:pStyle w:val="Normal"/>
        <w:keepNext w:val="true"/>
        <w:jc w:val="right"/>
        <w:rPr/>
      </w:pPr>
      <w:r>
        <w:rPr/>
        <w:t>Таблица 1.5.7</w:t>
      </w:r>
    </w:p>
    <w:tbl>
      <w:tblPr>
        <w:tblStyle w:val="ae"/>
        <w:tblW w:w="5000" w:type="pct"/>
        <w:jc w:val="left"/>
        <w:tblInd w:w="-8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3127"/>
        <w:gridCol w:w="2710"/>
        <w:gridCol w:w="2180"/>
        <w:gridCol w:w="2187"/>
      </w:tblGrid>
      <w:tr>
        <w:trPr/>
        <w:tc>
          <w:tcPr>
            <w:tcW w:w="3127" w:type="dxa"/>
            <w:tcBorders/>
            <w:vAlign w:val="center"/>
          </w:tcPr>
          <w:p>
            <w:pPr>
              <w:pStyle w:val="Style60"/>
              <w:widowControl/>
              <w:spacing w:before="0" w:after="0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bidi="ar-SA"/>
              </w:rPr>
              <w:t>Наименование источника водоснабжения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Style60"/>
              <w:widowControl/>
              <w:spacing w:before="0" w:after="0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bidi="ar-SA"/>
              </w:rPr>
              <w:t>Установленная производительность существ, сооружений, м</w:t>
            </w:r>
            <w:r>
              <w:rPr>
                <w:rFonts w:cs="Times New Roman"/>
                <w:b/>
                <w:kern w:val="0"/>
                <w:vertAlign w:val="superscript"/>
                <w:lang w:val="ru-RU" w:bidi="ar-SA"/>
              </w:rPr>
              <w:t>3</w:t>
            </w:r>
            <w:r>
              <w:rPr>
                <w:rFonts w:cs="Times New Roman"/>
                <w:b/>
                <w:kern w:val="0"/>
                <w:lang w:val="ru-RU" w:bidi="ar-SA"/>
              </w:rPr>
              <w:t>/сут</w:t>
            </w:r>
          </w:p>
        </w:tc>
        <w:tc>
          <w:tcPr>
            <w:tcW w:w="2180" w:type="dxa"/>
            <w:tcBorders/>
            <w:vAlign w:val="center"/>
          </w:tcPr>
          <w:p>
            <w:pPr>
              <w:pStyle w:val="Style60"/>
              <w:widowControl/>
              <w:spacing w:before="0" w:after="0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bidi="ar-SA"/>
              </w:rPr>
              <w:t>Среднесуточный объем потребляемой воды, м</w:t>
            </w:r>
            <w:r>
              <w:rPr>
                <w:rFonts w:cs="Times New Roman"/>
                <w:b/>
                <w:kern w:val="0"/>
                <w:vertAlign w:val="superscript"/>
                <w:lang w:val="ru-RU" w:bidi="ar-SA"/>
              </w:rPr>
              <w:t>3</w:t>
            </w:r>
            <w:r>
              <w:rPr>
                <w:rFonts w:cs="Times New Roman"/>
                <w:b/>
                <w:kern w:val="0"/>
                <w:lang w:val="ru-RU" w:bidi="ar-SA"/>
              </w:rPr>
              <w:t>/сут</w:t>
            </w:r>
          </w:p>
        </w:tc>
        <w:tc>
          <w:tcPr>
            <w:tcW w:w="2187" w:type="dxa"/>
            <w:tcBorders/>
            <w:vAlign w:val="center"/>
          </w:tcPr>
          <w:p>
            <w:pPr>
              <w:pStyle w:val="Style60"/>
              <w:widowControl/>
              <w:spacing w:before="0" w:after="0"/>
              <w:rPr>
                <w:b/>
                <w:b/>
              </w:rPr>
            </w:pPr>
            <w:r>
              <w:rPr>
                <w:rStyle w:val="FontStyle162"/>
                <w:rFonts w:cs="Times New Roman"/>
                <w:bCs/>
                <w:kern w:val="0"/>
                <w:sz w:val="20"/>
                <w:lang w:val="ru-RU" w:bidi="ar-SA"/>
              </w:rPr>
              <w:t xml:space="preserve">Резерв производственной мощности, </w:t>
            </w:r>
            <w:r>
              <w:rPr>
                <w:rFonts w:cs="Times New Roman"/>
                <w:b/>
                <w:kern w:val="0"/>
                <w:lang w:val="ru-RU" w:bidi="ar-SA"/>
              </w:rPr>
              <w:t>м</w:t>
            </w:r>
            <w:r>
              <w:rPr>
                <w:rFonts w:cs="Times New Roman"/>
                <w:b/>
                <w:kern w:val="0"/>
                <w:vertAlign w:val="superscript"/>
                <w:lang w:val="ru-RU" w:bidi="ar-SA"/>
              </w:rPr>
              <w:t>3</w:t>
            </w:r>
            <w:r>
              <w:rPr>
                <w:rFonts w:cs="Times New Roman"/>
                <w:b/>
                <w:kern w:val="0"/>
                <w:lang w:val="ru-RU" w:bidi="ar-SA"/>
              </w:rPr>
              <w:t>/сут (%)</w:t>
            </w:r>
          </w:p>
        </w:tc>
      </w:tr>
      <w:tr>
        <w:trPr>
          <w:trHeight w:val="329" w:hRule="atLeast"/>
        </w:trPr>
        <w:tc>
          <w:tcPr>
            <w:tcW w:w="3127" w:type="dxa"/>
            <w:tcBorders/>
            <w:vAlign w:val="center"/>
          </w:tcPr>
          <w:p>
            <w:pPr>
              <w:pStyle w:val="Style56"/>
              <w:widowControl/>
              <w:spacing w:before="0" w:after="0"/>
              <w:rPr>
                <w:rFonts w:eastAsia="Calibri" w:cs="Times New Roman"/>
                <w:kern w:val="0"/>
                <w:lang w:val="ru-RU" w:bidi="ar-SA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Чугуевский муниципальный округ</w:t>
            </w:r>
          </w:p>
        </w:tc>
        <w:tc>
          <w:tcPr>
            <w:tcW w:w="271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н/д</w:t>
            </w:r>
          </w:p>
        </w:tc>
        <w:tc>
          <w:tcPr>
            <w:tcW w:w="21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  <w:t>812,8</w:t>
            </w:r>
          </w:p>
        </w:tc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</w:tbl>
    <w:p>
      <w:pPr>
        <w:pStyle w:val="Normal"/>
        <w:keepNext w:val="true"/>
        <w:rPr/>
      </w:pPr>
      <w:r>
        <w:rPr/>
      </w:r>
    </w:p>
    <w:p>
      <w:pPr>
        <w:pStyle w:val="Normal"/>
        <w:spacing w:before="120" w:after="120"/>
        <w:rPr/>
      </w:pPr>
      <w:r>
        <w:rPr/>
        <w:t>Согласно нормативов среднее потреблении населением горячей, питьевой, технической воды.</w:t>
      </w:r>
    </w:p>
    <w:p>
      <w:pPr>
        <w:pStyle w:val="Normal"/>
        <w:keepNext w:val="true"/>
        <w:jc w:val="right"/>
        <w:rPr/>
      </w:pPr>
      <w:r>
        <w:rPr/>
        <w:t>Таблица 1.5.8</w:t>
      </w:r>
    </w:p>
    <w:p>
      <w:pPr>
        <w:pStyle w:val="Normal"/>
        <w:spacing w:before="120" w:after="120"/>
        <w:jc w:val="center"/>
        <w:rPr/>
      </w:pPr>
      <w:r>
        <w:rPr/>
        <w:t>Сведения о потреблении населением горячей, питьевой, технической воды</w:t>
      </w:r>
    </w:p>
    <w:tbl>
      <w:tblPr>
        <w:tblW w:w="45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62"/>
        <w:gridCol w:w="1346"/>
        <w:gridCol w:w="1044"/>
        <w:gridCol w:w="1578"/>
        <w:gridCol w:w="1578"/>
        <w:gridCol w:w="1577"/>
      </w:tblGrid>
      <w:tr>
        <w:trPr>
          <w:trHeight w:val="20" w:hRule="atLeast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Потребители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Существующие значения</w:t>
            </w:r>
          </w:p>
        </w:tc>
      </w:tr>
      <w:tr>
        <w:trPr>
          <w:trHeight w:val="20" w:hRule="atLeast"/>
        </w:trPr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Годовой объем потребления, м</w:t>
            </w:r>
            <w:r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Средний суточный расход,  м</w:t>
            </w:r>
            <w:r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З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/сут.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Максимальный суточный расход, м</w:t>
            </w:r>
            <w:r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З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/сут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Максимальный часовой расход, м.куб/час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Максимальный секундный расход, л/сек</w:t>
            </w:r>
          </w:p>
        </w:tc>
      </w:tr>
      <w:tr>
        <w:trPr>
          <w:trHeight w:val="20" w:hRule="atLeast"/>
        </w:trPr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Водопотребление, всего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645009,8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1767,2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2120,6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</w:tr>
    </w:tbl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Максимальные секундные расходы определяются в соответствии с требованиями, приведенными в СП 31.13330.2012. «СВОД ПРАВИЛ. ВОДОСНАБЖЕНИЕ. НАРУЖНЫЕ</w:t>
      </w:r>
      <w:r>
        <w:rPr>
          <w:rFonts w:eastAsia="Arial"/>
          <w:szCs w:val="24"/>
          <w:lang w:eastAsia="x-none" w:bidi="ru-RU"/>
        </w:rPr>
        <w:t xml:space="preserve"> </w:t>
      </w:r>
      <w:r>
        <w:rPr>
          <w:rFonts w:eastAsia="Arial"/>
          <w:szCs w:val="24"/>
          <w:lang w:val="x-none" w:eastAsia="x-none" w:bidi="ru-RU"/>
        </w:rPr>
        <w:t>СЕТИ И СООРУЖЕНИЯ. Актуализированная редакция». Максимальные секундные расходы определяются по расчетным расходам воды в течение суток. Объем суточного водопотребления складывается из расходов воды:</w:t>
      </w:r>
    </w:p>
    <w:p>
      <w:pPr>
        <w:pStyle w:val="Normal"/>
        <w:ind w:left="1135" w:hanging="284"/>
        <w:rPr>
          <w:szCs w:val="24"/>
          <w:lang w:val="x-none" w:eastAsia="ru-RU" w:bidi="ru-RU"/>
        </w:rPr>
      </w:pPr>
      <w:r>
        <w:rPr>
          <w:szCs w:val="24"/>
          <w:lang w:val="x-none" w:eastAsia="ru-RU" w:bidi="ru-RU"/>
        </w:rPr>
        <w:t>на хозяйственно-питьевые нужды;</w:t>
      </w:r>
    </w:p>
    <w:p>
      <w:pPr>
        <w:pStyle w:val="Normal"/>
        <w:ind w:left="1135" w:hanging="284"/>
        <w:rPr>
          <w:szCs w:val="24"/>
          <w:lang w:val="x-none" w:eastAsia="ru-RU" w:bidi="ru-RU"/>
        </w:rPr>
      </w:pPr>
      <w:r>
        <w:rPr>
          <w:szCs w:val="24"/>
          <w:lang w:val="x-none" w:eastAsia="ru-RU" w:bidi="ru-RU"/>
        </w:rPr>
        <w:t>на поливку зеленых насаждений и усовершенствованных покрытий</w:t>
      </w:r>
      <w:r>
        <w:rPr>
          <w:spacing w:val="-18"/>
          <w:szCs w:val="24"/>
          <w:lang w:val="x-none" w:eastAsia="ru-RU" w:bidi="ru-RU"/>
        </w:rPr>
        <w:t xml:space="preserve"> </w:t>
      </w:r>
      <w:r>
        <w:rPr>
          <w:szCs w:val="24"/>
          <w:lang w:val="x-none" w:eastAsia="ru-RU" w:bidi="ru-RU"/>
        </w:rPr>
        <w:t>улиц;</w:t>
      </w:r>
    </w:p>
    <w:p>
      <w:pPr>
        <w:pStyle w:val="Normal"/>
        <w:ind w:left="1135" w:hanging="284"/>
        <w:rPr>
          <w:szCs w:val="24"/>
          <w:lang w:val="x-none" w:eastAsia="ru-RU" w:bidi="ru-RU"/>
        </w:rPr>
      </w:pPr>
      <w:r>
        <w:rPr>
          <w:szCs w:val="24"/>
          <w:lang w:val="x-none" w:eastAsia="ru-RU" w:bidi="ru-RU"/>
        </w:rPr>
        <w:t>на производственно-технические</w:t>
      </w:r>
      <w:r>
        <w:rPr>
          <w:spacing w:val="-3"/>
          <w:szCs w:val="24"/>
          <w:lang w:val="x-none" w:eastAsia="ru-RU" w:bidi="ru-RU"/>
        </w:rPr>
        <w:t xml:space="preserve"> </w:t>
      </w:r>
      <w:r>
        <w:rPr>
          <w:szCs w:val="24"/>
          <w:lang w:val="x-none" w:eastAsia="ru-RU" w:bidi="ru-RU"/>
        </w:rPr>
        <w:t>цели;</w:t>
      </w:r>
    </w:p>
    <w:p>
      <w:pPr>
        <w:pStyle w:val="Normal"/>
        <w:ind w:left="1135" w:hanging="284"/>
        <w:rPr>
          <w:szCs w:val="24"/>
          <w:lang w:val="x-none" w:eastAsia="ru-RU" w:bidi="ru-RU"/>
        </w:rPr>
      </w:pPr>
      <w:r>
        <w:rPr>
          <w:szCs w:val="24"/>
          <w:lang w:val="x-none" w:eastAsia="ru-RU" w:bidi="ru-RU"/>
        </w:rPr>
        <w:t>на</w:t>
      </w:r>
      <w:r>
        <w:rPr>
          <w:spacing w:val="-3"/>
          <w:szCs w:val="24"/>
          <w:lang w:val="x-none" w:eastAsia="ru-RU" w:bidi="ru-RU"/>
        </w:rPr>
        <w:t xml:space="preserve"> </w:t>
      </w:r>
      <w:r>
        <w:rPr>
          <w:szCs w:val="24"/>
          <w:lang w:val="x-none" w:eastAsia="ru-RU" w:bidi="ru-RU"/>
        </w:rPr>
        <w:t>пожаротушение;</w:t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Расчетный расход воды за сутки наибольшего и наименьшего водопотребления определен в зависимости от среднесуточного расхода воды по формулам:</w:t>
      </w:r>
    </w:p>
    <w:p>
      <w:pPr>
        <w:pStyle w:val="Normal"/>
        <w:widowControl w:val="false"/>
        <w:jc w:val="center"/>
        <w:rPr>
          <w:rFonts w:eastAsia="Arial"/>
          <w:szCs w:val="24"/>
          <w:lang w:eastAsia="ru-RU" w:bidi="ru-RU"/>
        </w:rPr>
      </w:pPr>
      <w:r>
        <w:rPr>
          <w:rFonts w:eastAsia="Arial"/>
          <w:b/>
          <w:position w:val="2"/>
          <w:szCs w:val="24"/>
          <w:lang w:eastAsia="ru-RU" w:bidi="ru-RU"/>
        </w:rPr>
        <w:t>G</w:t>
      </w:r>
      <w:r>
        <w:rPr>
          <w:rFonts w:eastAsia="Arial"/>
          <w:b/>
          <w:szCs w:val="24"/>
          <w:lang w:eastAsia="ru-RU" w:bidi="ru-RU"/>
        </w:rPr>
        <w:t xml:space="preserve">сут. макс </w:t>
      </w:r>
      <w:r>
        <w:rPr>
          <w:rFonts w:eastAsia="Arial"/>
          <w:b/>
          <w:position w:val="2"/>
          <w:szCs w:val="24"/>
          <w:lang w:eastAsia="ru-RU" w:bidi="ru-RU"/>
        </w:rPr>
        <w:t>= К</w:t>
      </w:r>
      <w:r>
        <w:rPr>
          <w:rFonts w:eastAsia="Arial"/>
          <w:b/>
          <w:szCs w:val="24"/>
          <w:lang w:eastAsia="ru-RU" w:bidi="ru-RU"/>
        </w:rPr>
        <w:t>сут.макс</w:t>
      </w:r>
      <w:r>
        <w:rPr>
          <w:rFonts w:eastAsia="Arial"/>
          <w:b/>
          <w:position w:val="2"/>
          <w:szCs w:val="24"/>
          <w:lang w:eastAsia="ru-RU" w:bidi="ru-RU"/>
        </w:rPr>
        <w:t>* G</w:t>
      </w:r>
      <w:r>
        <w:rPr>
          <w:rFonts w:eastAsia="Arial"/>
          <w:b/>
          <w:szCs w:val="24"/>
          <w:lang w:eastAsia="ru-RU" w:bidi="ru-RU"/>
        </w:rPr>
        <w:t>сут. ср</w:t>
      </w:r>
      <w:r>
        <w:rPr>
          <w:rFonts w:eastAsia="Arial"/>
          <w:b/>
          <w:position w:val="2"/>
          <w:szCs w:val="24"/>
          <w:lang w:eastAsia="ru-RU" w:bidi="ru-RU"/>
        </w:rPr>
        <w:t xml:space="preserve">, </w:t>
      </w:r>
      <w:r>
        <w:rPr>
          <w:rFonts w:eastAsia="Arial"/>
          <w:position w:val="2"/>
          <w:szCs w:val="24"/>
          <w:lang w:eastAsia="ru-RU" w:bidi="ru-RU"/>
        </w:rPr>
        <w:t>м3/сут,</w:t>
      </w:r>
    </w:p>
    <w:p>
      <w:pPr>
        <w:pStyle w:val="Normal"/>
        <w:widowControl w:val="false"/>
        <w:spacing w:before="3" w:after="200"/>
        <w:rPr>
          <w:rFonts w:eastAsia="Arial"/>
          <w:szCs w:val="24"/>
          <w:lang w:eastAsia="ru-RU" w:bidi="ru-RU"/>
        </w:rPr>
      </w:pPr>
      <w:r>
        <w:rPr>
          <w:rFonts w:eastAsia="Arial"/>
          <w:szCs w:val="24"/>
          <w:lang w:eastAsia="ru-RU" w:bidi="ru-RU"/>
        </w:rPr>
      </w:r>
    </w:p>
    <w:p>
      <w:pPr>
        <w:pStyle w:val="Normal"/>
        <w:widowControl w:val="false"/>
        <w:jc w:val="center"/>
        <w:rPr>
          <w:rFonts w:eastAsia="Arial"/>
          <w:szCs w:val="24"/>
          <w:lang w:eastAsia="ru-RU" w:bidi="ru-RU"/>
        </w:rPr>
      </w:pPr>
      <w:r>
        <w:rPr>
          <w:rFonts w:eastAsia="Arial"/>
          <w:b/>
          <w:position w:val="2"/>
          <w:szCs w:val="24"/>
          <w:lang w:eastAsia="ru-RU" w:bidi="ru-RU"/>
        </w:rPr>
        <w:t>G</w:t>
      </w:r>
      <w:r>
        <w:rPr>
          <w:rFonts w:eastAsia="Arial"/>
          <w:b/>
          <w:szCs w:val="24"/>
          <w:lang w:eastAsia="ru-RU" w:bidi="ru-RU"/>
        </w:rPr>
        <w:t xml:space="preserve">сут. мин </w:t>
      </w:r>
      <w:r>
        <w:rPr>
          <w:rFonts w:eastAsia="Arial"/>
          <w:b/>
          <w:position w:val="2"/>
          <w:szCs w:val="24"/>
          <w:lang w:eastAsia="ru-RU" w:bidi="ru-RU"/>
        </w:rPr>
        <w:t>= К</w:t>
      </w:r>
      <w:r>
        <w:rPr>
          <w:rFonts w:eastAsia="Arial"/>
          <w:b/>
          <w:szCs w:val="24"/>
          <w:lang w:eastAsia="ru-RU" w:bidi="ru-RU"/>
        </w:rPr>
        <w:t>сут.мин</w:t>
      </w:r>
      <w:r>
        <w:rPr>
          <w:rFonts w:eastAsia="Arial"/>
          <w:b/>
          <w:position w:val="2"/>
          <w:szCs w:val="24"/>
          <w:lang w:eastAsia="ru-RU" w:bidi="ru-RU"/>
        </w:rPr>
        <w:t>* G</w:t>
      </w:r>
      <w:r>
        <w:rPr>
          <w:rFonts w:eastAsia="Arial"/>
          <w:b/>
          <w:szCs w:val="24"/>
          <w:lang w:eastAsia="ru-RU" w:bidi="ru-RU"/>
        </w:rPr>
        <w:t>сут. ср</w:t>
      </w:r>
      <w:r>
        <w:rPr>
          <w:rFonts w:eastAsia="Arial"/>
          <w:b/>
          <w:position w:val="2"/>
          <w:szCs w:val="24"/>
          <w:lang w:eastAsia="ru-RU" w:bidi="ru-RU"/>
        </w:rPr>
        <w:t xml:space="preserve">, </w:t>
      </w:r>
      <w:r>
        <w:rPr>
          <w:rFonts w:eastAsia="Arial"/>
          <w:position w:val="2"/>
          <w:szCs w:val="24"/>
          <w:lang w:eastAsia="ru-RU" w:bidi="ru-RU"/>
        </w:rPr>
        <w:t>м3/сут, где</w:t>
      </w:r>
    </w:p>
    <w:p>
      <w:pPr>
        <w:pStyle w:val="Normal"/>
        <w:ind w:left="1135" w:hanging="284"/>
        <w:rPr>
          <w:szCs w:val="24"/>
          <w:lang w:val="x-none" w:eastAsia="ru-RU" w:bidi="ru-RU"/>
        </w:rPr>
      </w:pPr>
      <w:r>
        <w:rPr>
          <w:szCs w:val="24"/>
          <w:lang w:val="x-none" w:eastAsia="ru-RU" w:bidi="ru-RU"/>
        </w:rPr>
        <w:t>К</w:t>
      </w:r>
      <w:r>
        <w:rPr>
          <w:szCs w:val="24"/>
          <w:vertAlign w:val="subscript"/>
          <w:lang w:val="x-none" w:eastAsia="ru-RU" w:bidi="ru-RU"/>
        </w:rPr>
        <w:t>сут.макс</w:t>
      </w:r>
      <w:r>
        <w:rPr>
          <w:szCs w:val="24"/>
          <w:lang w:val="x-none" w:eastAsia="ru-RU" w:bidi="ru-RU"/>
        </w:rPr>
        <w:t>, К</w:t>
      </w:r>
      <w:r>
        <w:rPr>
          <w:szCs w:val="24"/>
          <w:vertAlign w:val="subscript"/>
          <w:lang w:val="x-none" w:eastAsia="ru-RU" w:bidi="ru-RU"/>
        </w:rPr>
        <w:t>сут.мин</w:t>
      </w:r>
      <w:r>
        <w:rPr>
          <w:szCs w:val="24"/>
          <w:lang w:val="x-none" w:eastAsia="ru-RU" w:bidi="ru-RU"/>
        </w:rPr>
        <w:t xml:space="preserve"> </w:t>
      </w:r>
      <w:r>
        <w:rPr>
          <w:b/>
          <w:szCs w:val="24"/>
          <w:lang w:val="x-none" w:eastAsia="ru-RU" w:bidi="ru-RU"/>
        </w:rPr>
        <w:t xml:space="preserve">– </w:t>
      </w:r>
      <w:r>
        <w:rPr>
          <w:szCs w:val="24"/>
          <w:lang w:val="x-none" w:eastAsia="ru-RU" w:bidi="ru-RU"/>
        </w:rPr>
        <w:t xml:space="preserve">максимальный и минимальный коэффициент </w:t>
      </w:r>
      <w:r>
        <w:rPr>
          <w:spacing w:val="-4"/>
          <w:szCs w:val="24"/>
          <w:lang w:val="x-none" w:eastAsia="ru-RU" w:bidi="ru-RU"/>
        </w:rPr>
        <w:t>суточной</w:t>
      </w:r>
      <w:r>
        <w:rPr>
          <w:spacing w:val="52"/>
          <w:szCs w:val="24"/>
          <w:lang w:val="x-none" w:eastAsia="ru-RU" w:bidi="ru-RU"/>
        </w:rPr>
        <w:t xml:space="preserve"> </w:t>
      </w:r>
      <w:r>
        <w:rPr>
          <w:szCs w:val="24"/>
          <w:lang w:val="x-none" w:eastAsia="ru-RU" w:bidi="ru-RU"/>
        </w:rPr>
        <w:t>неравномерности;</w:t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Коэффициенты суточной неравномерности учитывают уклад жизни населения, климатические условия и связанные с ним изменения водопотребления по сезонам года и дням недели, а также режим работы коммунально-бытовых предприятий.</w:t>
      </w:r>
    </w:p>
    <w:p>
      <w:pPr>
        <w:pStyle w:val="Normal"/>
        <w:widowControl w:val="false"/>
        <w:spacing w:lineRule="exact" w:line="254"/>
        <w:rPr>
          <w:rFonts w:eastAsia="Arial"/>
          <w:szCs w:val="24"/>
          <w:lang w:eastAsia="ru-RU" w:bidi="ru-RU"/>
        </w:rPr>
      </w:pPr>
      <w:r>
        <w:rPr>
          <w:rFonts w:eastAsia="Arial"/>
          <w:position w:val="2"/>
          <w:szCs w:val="24"/>
          <w:lang w:eastAsia="ru-RU" w:bidi="ru-RU"/>
        </w:rPr>
        <w:t xml:space="preserve">          </w:t>
      </w:r>
    </w:p>
    <w:p>
      <w:pPr>
        <w:pStyle w:val="Normal"/>
        <w:widowControl w:val="false"/>
        <w:spacing w:lineRule="exact" w:line="254"/>
        <w:jc w:val="center"/>
        <w:rPr>
          <w:rFonts w:eastAsia="Arial"/>
          <w:szCs w:val="24"/>
          <w:lang w:eastAsia="ru-RU" w:bidi="ru-RU"/>
        </w:rPr>
      </w:pPr>
      <w:r>
        <w:rPr>
          <w:rFonts w:eastAsia="Arial"/>
          <w:position w:val="2"/>
          <w:szCs w:val="24"/>
          <w:lang w:eastAsia="ru-RU" w:bidi="ru-RU"/>
        </w:rPr>
        <w:t>К</w:t>
      </w:r>
      <w:r>
        <w:rPr>
          <w:rFonts w:eastAsia="Arial"/>
          <w:szCs w:val="24"/>
          <w:lang w:eastAsia="ru-RU" w:bidi="ru-RU"/>
        </w:rPr>
        <w:t xml:space="preserve">сут.макс </w:t>
      </w:r>
      <w:r>
        <w:rPr>
          <w:rFonts w:eastAsia="Arial"/>
          <w:position w:val="2"/>
          <w:szCs w:val="24"/>
          <w:lang w:eastAsia="ru-RU" w:bidi="ru-RU"/>
        </w:rPr>
        <w:t>= 1,1-1,3; К</w:t>
      </w:r>
      <w:r>
        <w:rPr>
          <w:rFonts w:eastAsia="Arial"/>
          <w:szCs w:val="24"/>
          <w:lang w:eastAsia="ru-RU" w:bidi="ru-RU"/>
        </w:rPr>
        <w:t xml:space="preserve">сут.мин </w:t>
      </w:r>
      <w:r>
        <w:rPr>
          <w:rFonts w:eastAsia="Arial"/>
          <w:position w:val="2"/>
          <w:szCs w:val="24"/>
          <w:lang w:eastAsia="ru-RU" w:bidi="ru-RU"/>
        </w:rPr>
        <w:t>= 0,7-0,9;</w:t>
      </w:r>
    </w:p>
    <w:p>
      <w:pPr>
        <w:pStyle w:val="Normal"/>
        <w:widowControl w:val="false"/>
        <w:spacing w:before="6" w:after="200"/>
        <w:rPr>
          <w:rFonts w:eastAsia="Arial"/>
          <w:szCs w:val="24"/>
          <w:lang w:eastAsia="ru-RU" w:bidi="ru-RU"/>
        </w:rPr>
      </w:pPr>
      <w:r>
        <w:rPr>
          <w:rFonts w:eastAsia="Arial"/>
          <w:szCs w:val="24"/>
          <w:lang w:eastAsia="ru-RU" w:bidi="ru-RU"/>
        </w:rPr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Часовые расходы воды в сутки максимального и минимального водопотребления определяются по формуле:</w:t>
      </w:r>
    </w:p>
    <w:p>
      <w:pPr>
        <w:pStyle w:val="Normal"/>
        <w:widowControl w:val="false"/>
        <w:spacing w:lineRule="auto" w:line="717"/>
        <w:ind w:right="-1" w:firstLine="567"/>
        <w:jc w:val="center"/>
        <w:rPr>
          <w:rFonts w:eastAsia="Arial"/>
          <w:b/>
          <w:b/>
          <w:szCs w:val="24"/>
          <w:lang w:eastAsia="ru-RU" w:bidi="ru-RU"/>
        </w:rPr>
      </w:pPr>
      <w:r>
        <w:rPr>
          <w:rFonts w:eastAsia="Arial"/>
          <w:b/>
          <w:position w:val="2"/>
          <w:szCs w:val="24"/>
          <w:lang w:eastAsia="ru-RU" w:bidi="ru-RU"/>
        </w:rPr>
        <w:t>g</w:t>
      </w:r>
      <w:r>
        <w:rPr>
          <w:rFonts w:eastAsia="Arial"/>
          <w:b/>
          <w:szCs w:val="24"/>
          <w:lang w:eastAsia="ru-RU" w:bidi="ru-RU"/>
        </w:rPr>
        <w:t xml:space="preserve">ч.макс </w:t>
      </w:r>
      <w:r>
        <w:rPr>
          <w:rFonts w:eastAsia="Arial"/>
          <w:b/>
          <w:position w:val="2"/>
          <w:szCs w:val="24"/>
          <w:lang w:eastAsia="ru-RU" w:bidi="ru-RU"/>
        </w:rPr>
        <w:t>= К</w:t>
      </w:r>
      <w:r>
        <w:rPr>
          <w:rFonts w:eastAsia="Arial"/>
          <w:b/>
          <w:szCs w:val="24"/>
          <w:lang w:eastAsia="ru-RU" w:bidi="ru-RU"/>
        </w:rPr>
        <w:t xml:space="preserve">час. макс. </w:t>
      </w:r>
      <w:r>
        <w:rPr>
          <w:rFonts w:eastAsia="Arial"/>
          <w:b/>
          <w:position w:val="2"/>
          <w:szCs w:val="24"/>
          <w:lang w:eastAsia="ru-RU" w:bidi="ru-RU"/>
        </w:rPr>
        <w:t>*(G</w:t>
      </w:r>
      <w:r>
        <w:rPr>
          <w:rFonts w:eastAsia="Arial"/>
          <w:b/>
          <w:szCs w:val="24"/>
          <w:lang w:eastAsia="ru-RU" w:bidi="ru-RU"/>
        </w:rPr>
        <w:t>сут. макс</w:t>
      </w:r>
      <w:r>
        <w:rPr>
          <w:rFonts w:eastAsia="Arial"/>
          <w:b/>
          <w:position w:val="2"/>
          <w:szCs w:val="24"/>
          <w:lang w:eastAsia="ru-RU" w:bidi="ru-RU"/>
        </w:rPr>
        <w:t>/24) g</w:t>
      </w:r>
      <w:r>
        <w:rPr>
          <w:rFonts w:eastAsia="Arial"/>
          <w:b/>
          <w:szCs w:val="24"/>
          <w:lang w:eastAsia="ru-RU" w:bidi="ru-RU"/>
        </w:rPr>
        <w:t xml:space="preserve">ч.мин </w:t>
      </w:r>
      <w:r>
        <w:rPr>
          <w:rFonts w:eastAsia="Arial"/>
          <w:b/>
          <w:position w:val="2"/>
          <w:szCs w:val="24"/>
          <w:lang w:eastAsia="ru-RU" w:bidi="ru-RU"/>
        </w:rPr>
        <w:t>= К</w:t>
      </w:r>
      <w:r>
        <w:rPr>
          <w:rFonts w:eastAsia="Arial"/>
          <w:b/>
          <w:szCs w:val="24"/>
          <w:lang w:eastAsia="ru-RU" w:bidi="ru-RU"/>
        </w:rPr>
        <w:t>час. мин.</w:t>
      </w:r>
      <w:r>
        <w:rPr>
          <w:rFonts w:eastAsia="Arial"/>
          <w:b/>
          <w:position w:val="2"/>
          <w:szCs w:val="24"/>
          <w:lang w:eastAsia="ru-RU" w:bidi="ru-RU"/>
        </w:rPr>
        <w:t>*(G</w:t>
      </w:r>
      <w:r>
        <w:rPr>
          <w:rFonts w:eastAsia="Arial"/>
          <w:b/>
          <w:szCs w:val="24"/>
          <w:lang w:eastAsia="ru-RU" w:bidi="ru-RU"/>
        </w:rPr>
        <w:t>сут. мин</w:t>
      </w:r>
      <w:r>
        <w:rPr>
          <w:rFonts w:eastAsia="Arial"/>
          <w:b/>
          <w:position w:val="2"/>
          <w:szCs w:val="24"/>
          <w:lang w:eastAsia="ru-RU" w:bidi="ru-RU"/>
        </w:rPr>
        <w:t>/24)</w:t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Коэффициенты часовой неравномерности определяются из выражений: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355" w:before="123" w:after="200"/>
        <w:ind w:right="-1" w:firstLine="567"/>
        <w:jc w:val="center"/>
        <w:rPr>
          <w:rFonts w:eastAsia="Arial"/>
          <w:b/>
          <w:b/>
          <w:szCs w:val="24"/>
          <w:lang w:eastAsia="ru-RU" w:bidi="ru-RU"/>
        </w:rPr>
      </w:pPr>
      <w:r>
        <w:rPr>
          <w:rFonts w:eastAsia="Arial"/>
          <w:b/>
          <w:position w:val="2"/>
          <w:szCs w:val="24"/>
          <w:lang w:eastAsia="ru-RU" w:bidi="ru-RU"/>
        </w:rPr>
        <w:t>К</w:t>
      </w:r>
      <w:r>
        <w:rPr>
          <w:rFonts w:eastAsia="Arial"/>
          <w:b/>
          <w:szCs w:val="24"/>
          <w:lang w:eastAsia="ru-RU" w:bidi="ru-RU"/>
        </w:rPr>
        <w:t xml:space="preserve">час. макс. </w:t>
      </w:r>
      <w:r>
        <w:rPr>
          <w:rFonts w:eastAsia="Arial"/>
          <w:b/>
          <w:position w:val="2"/>
          <w:szCs w:val="24"/>
          <w:lang w:eastAsia="ru-RU" w:bidi="ru-RU"/>
        </w:rPr>
        <w:t xml:space="preserve">=α </w:t>
      </w:r>
      <w:r>
        <w:rPr>
          <w:rFonts w:eastAsia="Arial"/>
          <w:b/>
          <w:szCs w:val="24"/>
          <w:lang w:eastAsia="ru-RU" w:bidi="ru-RU"/>
        </w:rPr>
        <w:t>max</w:t>
      </w:r>
      <w:r>
        <w:rPr>
          <w:rFonts w:eastAsia="Arial"/>
          <w:b/>
          <w:position w:val="2"/>
          <w:szCs w:val="24"/>
          <w:lang w:eastAsia="ru-RU" w:bidi="ru-RU"/>
        </w:rPr>
        <w:t>*β</w:t>
      </w:r>
      <w:r>
        <w:rPr>
          <w:rFonts w:eastAsia="Arial"/>
          <w:b/>
          <w:szCs w:val="24"/>
          <w:lang w:eastAsia="ru-RU" w:bidi="ru-RU"/>
        </w:rPr>
        <w:t>max</w:t>
      </w:r>
      <w:r>
        <w:rPr>
          <w:rFonts w:eastAsia="Arial"/>
          <w:b/>
          <w:position w:val="2"/>
          <w:szCs w:val="24"/>
          <w:lang w:eastAsia="ru-RU" w:bidi="ru-RU"/>
        </w:rPr>
        <w:t>, К</w:t>
      </w:r>
      <w:r>
        <w:rPr>
          <w:rFonts w:eastAsia="Arial"/>
          <w:b/>
          <w:szCs w:val="24"/>
          <w:lang w:eastAsia="ru-RU" w:bidi="ru-RU"/>
        </w:rPr>
        <w:t>час. мин.</w:t>
      </w:r>
      <w:r>
        <w:rPr>
          <w:rFonts w:eastAsia="Arial"/>
          <w:b/>
          <w:position w:val="2"/>
          <w:szCs w:val="24"/>
          <w:lang w:eastAsia="ru-RU" w:bidi="ru-RU"/>
        </w:rPr>
        <w:t xml:space="preserve">=α </w:t>
      </w:r>
      <w:r>
        <w:rPr>
          <w:rFonts w:eastAsia="Arial"/>
          <w:b/>
          <w:szCs w:val="24"/>
          <w:lang w:eastAsia="ru-RU" w:bidi="ru-RU"/>
        </w:rPr>
        <w:t>min</w:t>
      </w:r>
      <w:r>
        <w:rPr>
          <w:rFonts w:eastAsia="Arial"/>
          <w:b/>
          <w:position w:val="2"/>
          <w:szCs w:val="24"/>
          <w:lang w:eastAsia="ru-RU" w:bidi="ru-RU"/>
        </w:rPr>
        <w:t>*β</w:t>
      </w:r>
      <w:r>
        <w:rPr>
          <w:rFonts w:eastAsia="Arial"/>
          <w:b/>
          <w:szCs w:val="24"/>
          <w:lang w:eastAsia="ru-RU" w:bidi="ru-RU"/>
        </w:rPr>
        <w:t>min</w:t>
      </w:r>
      <w:r>
        <w:rPr>
          <w:rFonts w:eastAsia="Arial"/>
          <w:b/>
          <w:position w:val="2"/>
          <w:szCs w:val="24"/>
          <w:lang w:eastAsia="ru-RU" w:bidi="ru-RU"/>
        </w:rPr>
        <w:t>,</w:t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Значение коэффициентов зависит от степени благоустройства, режима работы коммунальных предприятий и других местных условий, принимается по СП 31.13330.2012, раздел</w:t>
      </w:r>
      <w:r>
        <w:rPr>
          <w:rFonts w:eastAsia="Arial"/>
          <w:spacing w:val="10"/>
          <w:szCs w:val="24"/>
          <w:lang w:val="x-none" w:eastAsia="x-none" w:bidi="ru-RU"/>
        </w:rPr>
        <w:t xml:space="preserve"> </w:t>
      </w:r>
      <w:r>
        <w:rPr>
          <w:rFonts w:eastAsia="Arial"/>
          <w:szCs w:val="24"/>
          <w:lang w:val="x-none" w:eastAsia="x-none" w:bidi="ru-RU"/>
        </w:rPr>
        <w:t>5.2.;</w:t>
      </w:r>
    </w:p>
    <w:p>
      <w:pPr>
        <w:pStyle w:val="Normal"/>
        <w:widowControl w:val="false"/>
        <w:spacing w:lineRule="exact" w:line="255"/>
        <w:jc w:val="center"/>
        <w:rPr>
          <w:rFonts w:eastAsia="Arial"/>
          <w:szCs w:val="24"/>
          <w:lang w:eastAsia="ru-RU" w:bidi="ru-RU"/>
        </w:rPr>
      </w:pPr>
      <w:r>
        <w:rPr>
          <w:rFonts w:eastAsia="Arial"/>
          <w:position w:val="2"/>
          <w:szCs w:val="24"/>
          <w:lang w:eastAsia="ru-RU" w:bidi="ru-RU"/>
        </w:rPr>
        <w:t xml:space="preserve">α </w:t>
      </w:r>
      <w:r>
        <w:rPr>
          <w:rFonts w:eastAsia="Arial"/>
          <w:szCs w:val="24"/>
          <w:lang w:eastAsia="ru-RU" w:bidi="ru-RU"/>
        </w:rPr>
        <w:t xml:space="preserve">max </w:t>
      </w:r>
      <w:r>
        <w:rPr>
          <w:rFonts w:eastAsia="Arial"/>
          <w:position w:val="2"/>
          <w:szCs w:val="24"/>
          <w:lang w:eastAsia="ru-RU" w:bidi="ru-RU"/>
        </w:rPr>
        <w:t xml:space="preserve">=1.2 – 1.4; α </w:t>
      </w:r>
      <w:r>
        <w:rPr>
          <w:rFonts w:eastAsia="Arial"/>
          <w:szCs w:val="24"/>
          <w:lang w:eastAsia="ru-RU" w:bidi="ru-RU"/>
        </w:rPr>
        <w:t xml:space="preserve">min </w:t>
      </w:r>
      <w:r>
        <w:rPr>
          <w:rFonts w:eastAsia="Arial"/>
          <w:position w:val="2"/>
          <w:szCs w:val="24"/>
          <w:lang w:eastAsia="ru-RU" w:bidi="ru-RU"/>
        </w:rPr>
        <w:t>= 0.4 – 0.6,</w:t>
      </w:r>
    </w:p>
    <w:p>
      <w:pPr>
        <w:pStyle w:val="Normal"/>
        <w:widowControl w:val="false"/>
        <w:spacing w:lineRule="exact" w:line="255"/>
        <w:rPr>
          <w:rFonts w:eastAsia="Arial"/>
          <w:szCs w:val="24"/>
          <w:lang w:eastAsia="ru-RU" w:bidi="ru-RU"/>
        </w:rPr>
      </w:pPr>
      <w:r>
        <w:rPr>
          <w:rFonts w:eastAsia="Arial"/>
          <w:szCs w:val="24"/>
          <w:lang w:eastAsia="ru-RU" w:bidi="ru-RU"/>
        </w:rPr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Коэффициенты, отражают влияние численности населения, принимаются по СП 31.13330.2012., раздел 5.2.;</w:t>
      </w:r>
    </w:p>
    <w:p>
      <w:pPr>
        <w:pStyle w:val="Normal"/>
        <w:widowControl w:val="false"/>
        <w:spacing w:lineRule="exact" w:line="254"/>
        <w:jc w:val="center"/>
        <w:rPr>
          <w:rFonts w:eastAsia="Arial"/>
          <w:szCs w:val="24"/>
          <w:lang w:eastAsia="ru-RU" w:bidi="ru-RU"/>
        </w:rPr>
      </w:pPr>
      <w:r>
        <w:rPr>
          <w:rFonts w:eastAsia="Arial"/>
          <w:position w:val="2"/>
          <w:szCs w:val="24"/>
          <w:lang w:eastAsia="ru-RU" w:bidi="ru-RU"/>
        </w:rPr>
        <w:t>β</w:t>
      </w:r>
      <w:r>
        <w:rPr>
          <w:rFonts w:eastAsia="Arial"/>
          <w:szCs w:val="24"/>
          <w:lang w:eastAsia="ru-RU" w:bidi="ru-RU"/>
        </w:rPr>
        <w:t>max</w:t>
      </w:r>
      <w:r>
        <w:rPr>
          <w:rFonts w:eastAsia="Arial"/>
          <w:position w:val="2"/>
          <w:szCs w:val="24"/>
          <w:lang w:eastAsia="ru-RU" w:bidi="ru-RU"/>
        </w:rPr>
        <w:t>= 1,4; β</w:t>
      </w:r>
      <w:r>
        <w:rPr>
          <w:rFonts w:eastAsia="Arial"/>
          <w:szCs w:val="24"/>
          <w:lang w:eastAsia="ru-RU" w:bidi="ru-RU"/>
        </w:rPr>
        <w:t xml:space="preserve">min </w:t>
      </w:r>
      <w:r>
        <w:rPr>
          <w:rFonts w:eastAsia="Arial"/>
          <w:position w:val="2"/>
          <w:szCs w:val="24"/>
          <w:lang w:eastAsia="ru-RU" w:bidi="ru-RU"/>
        </w:rPr>
        <w:t>= 0,25,</w:t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Расход воды на поливку зеленых насаждений и усовершенствованных покрытий улиц определяется по удельному среднесуточному расходу за поливочный сезон в расчете на одного жителя и принимается 50 л/сут/1 житель (СП 31.13330.2012., раздел 5.3.)</w:t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Максимальный расход воды на пожаротушение для одного гидранта принимается равным 15 л/с при минимальном напоре 10 метров.</w:t>
      </w:r>
    </w:p>
    <w:p>
      <w:pPr>
        <w:pStyle w:val="Normal"/>
        <w:rPr>
          <w:rFonts w:eastAsia="Arial"/>
          <w:szCs w:val="24"/>
          <w:lang w:val="x-none" w:eastAsia="x-none" w:bidi="ru-RU"/>
        </w:rPr>
      </w:pPr>
      <w:r>
        <w:rPr>
          <w:rFonts w:eastAsia="Arial"/>
          <w:szCs w:val="24"/>
          <w:lang w:val="x-none" w:eastAsia="x-none" w:bidi="ru-RU"/>
        </w:rPr>
        <w:t>Максимальный расход воды котельной определяется как расход холодной воды на собственные нужды и расход холодной воды на подпитку тепловой сети (утечки и горячее водоснабжение).</w:t>
      </w:r>
    </w:p>
    <w:p>
      <w:pPr>
        <w:pStyle w:val="Style64"/>
        <w:rPr>
          <w:sz w:val="24"/>
          <w:szCs w:val="24"/>
        </w:rPr>
      </w:pPr>
      <w:r>
        <w:rPr>
          <w:sz w:val="24"/>
          <w:szCs w:val="24"/>
        </w:rPr>
        <w:t>Планом предусматривается повышение инвестиционной привлекательности муниципального образования, путем развития инфраструктуры, улучшение условий для развития бизнеса, создание новых рабочих мест.</w:t>
      </w:r>
    </w:p>
    <w:p>
      <w:pPr>
        <w:sectPr>
          <w:headerReference w:type="even" r:id="rId3"/>
          <w:headerReference w:type="default" r:id="rId4"/>
          <w:footerReference w:type="default" r:id="rId5"/>
          <w:type w:val="nextPage"/>
          <w:pgSz w:w="11906" w:h="16838"/>
          <w:pgMar w:left="1134" w:right="567" w:gutter="0" w:header="426" w:top="567" w:footer="0" w:bottom="284"/>
          <w:pgNumType w:fmt="decimal"/>
          <w:formProt w:val="false"/>
          <w:titlePg/>
          <w:textDirection w:val="lrTb"/>
          <w:docGrid w:type="default" w:linePitch="360" w:charSpace="4096"/>
        </w:sectPr>
        <w:pStyle w:val="Style64"/>
        <w:rPr>
          <w:sz w:val="24"/>
          <w:szCs w:val="24"/>
        </w:rPr>
      </w:pPr>
      <w:r>
        <w:rPr>
          <w:sz w:val="24"/>
          <w:szCs w:val="24"/>
        </w:rPr>
        <w:t xml:space="preserve">Генеральным планом предусмотрена </w:t>
      </w:r>
      <w:r>
        <w:rPr>
          <w:sz w:val="24"/>
          <w:szCs w:val="24"/>
          <w:lang w:val="ru-RU"/>
        </w:rPr>
        <w:t xml:space="preserve">строительство </w:t>
      </w:r>
      <w:r>
        <w:rPr>
          <w:sz w:val="24"/>
          <w:szCs w:val="24"/>
        </w:rPr>
        <w:t>и развитие системы водоснабжения - обустройство водозаборов, строительство кольцевых водоводов, обеспечивающих надежность подачи воды потребителю, строительство магистральных водоводов в зоны планируемой застройки.</w:t>
      </w:r>
    </w:p>
    <w:p>
      <w:pPr>
        <w:pStyle w:val="Style64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  <w:r>
        <w:rPr>
          <w:sz w:val="24"/>
          <w:szCs w:val="24"/>
          <w:lang w:val="ru-RU"/>
        </w:rPr>
        <w:t>.5.9</w:t>
      </w:r>
      <w:r>
        <w:rPr>
          <w:sz w:val="24"/>
          <w:szCs w:val="24"/>
        </w:rPr>
        <w:t xml:space="preserve"> </w:t>
      </w:r>
    </w:p>
    <w:p>
      <w:pPr>
        <w:pStyle w:val="Style64"/>
        <w:jc w:val="center"/>
        <w:rPr>
          <w:sz w:val="24"/>
          <w:szCs w:val="24"/>
        </w:rPr>
      </w:pPr>
      <w:r>
        <w:rPr>
          <w:sz w:val="24"/>
          <w:szCs w:val="24"/>
        </w:rPr>
        <w:t>Расчетно-нормативное потребление воды водопотребителями</w:t>
      </w:r>
    </w:p>
    <w:tbl>
      <w:tblPr>
        <w:tblW w:w="157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02"/>
        <w:gridCol w:w="1420"/>
        <w:gridCol w:w="1104"/>
        <w:gridCol w:w="1665"/>
        <w:gridCol w:w="1415"/>
        <w:gridCol w:w="1559"/>
        <w:gridCol w:w="1417"/>
        <w:gridCol w:w="1276"/>
        <w:gridCol w:w="1559"/>
        <w:gridCol w:w="1701"/>
        <w:gridCol w:w="1275"/>
      </w:tblGrid>
      <w:tr>
        <w:trPr/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64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Потребители</w:t>
            </w:r>
          </w:p>
        </w:tc>
        <w:tc>
          <w:tcPr>
            <w:tcW w:w="7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Существующие значения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Прогноз на 2032 год</w:t>
            </w:r>
          </w:p>
        </w:tc>
      </w:tr>
      <w:tr>
        <w:trPr/>
        <w:tc>
          <w:tcPr>
            <w:tcW w:w="1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64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Годовой объем потребления, м</w:t>
            </w:r>
            <w:r>
              <w:rPr>
                <w:b/>
                <w:szCs w:val="20"/>
                <w:vertAlign w:val="superscript"/>
                <w:lang w:eastAsia="ru-RU"/>
              </w:rPr>
              <w:t>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Средний суточный расход,  м</w:t>
            </w:r>
            <w:r>
              <w:rPr>
                <w:b/>
                <w:szCs w:val="20"/>
                <w:vertAlign w:val="superscript"/>
                <w:lang w:eastAsia="ru-RU"/>
              </w:rPr>
              <w:t>З</w:t>
            </w:r>
            <w:r>
              <w:rPr>
                <w:b/>
                <w:szCs w:val="20"/>
                <w:lang w:eastAsia="ru-RU"/>
              </w:rPr>
              <w:t>/сут.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Максимальный суточный расход, м</w:t>
            </w:r>
            <w:r>
              <w:rPr>
                <w:b/>
                <w:szCs w:val="20"/>
                <w:vertAlign w:val="superscript"/>
                <w:lang w:eastAsia="ru-RU"/>
              </w:rPr>
              <w:t>З</w:t>
            </w:r>
            <w:r>
              <w:rPr>
                <w:b/>
                <w:szCs w:val="20"/>
                <w:lang w:eastAsia="ru-RU"/>
              </w:rPr>
              <w:t>/сут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Максимальный часовой расход, м.куб/час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Максимальный секундный расход, л/сек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Годовой объем потребления, м</w:t>
            </w:r>
            <w:r>
              <w:rPr>
                <w:b/>
                <w:szCs w:val="20"/>
                <w:vertAlign w:val="superscript"/>
                <w:lang w:eastAsia="ru-RU"/>
              </w:rPr>
              <w:t>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Средний суточный расход,  м</w:t>
            </w:r>
            <w:r>
              <w:rPr>
                <w:b/>
                <w:szCs w:val="20"/>
                <w:vertAlign w:val="superscript"/>
                <w:lang w:eastAsia="ru-RU"/>
              </w:rPr>
              <w:t>З</w:t>
            </w:r>
            <w:r>
              <w:rPr>
                <w:b/>
                <w:szCs w:val="20"/>
                <w:lang w:eastAsia="ru-RU"/>
              </w:rPr>
              <w:t>/сут.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Максимальный суточный расход, м</w:t>
            </w:r>
            <w:r>
              <w:rPr>
                <w:b/>
                <w:szCs w:val="20"/>
                <w:vertAlign w:val="superscript"/>
                <w:lang w:eastAsia="ru-RU"/>
              </w:rPr>
              <w:t>З</w:t>
            </w:r>
            <w:r>
              <w:rPr>
                <w:b/>
                <w:szCs w:val="20"/>
                <w:lang w:eastAsia="ru-RU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Максимальный часовой расход, м.куб/час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Максимальный секундный расход, л/сек</w:t>
            </w:r>
          </w:p>
        </w:tc>
      </w:tr>
      <w:tr>
        <w:trPr/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16"/>
              <w:widowControl w:val="false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645009,8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1767,2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2120,6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892425,0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567" w:right="284" w:gutter="0" w:header="0" w:top="567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64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2"/>
        <w:numPr>
          <w:ilvl w:val="2"/>
          <w:numId w:val="59"/>
        </w:numPr>
        <w:spacing w:lineRule="auto" w:line="240"/>
        <w:rPr>
          <w:szCs w:val="22"/>
        </w:rPr>
      </w:pPr>
      <w:bookmarkStart w:id="63" w:name="_Toc107492613"/>
      <w:r>
        <w:rPr/>
        <w:t>Прогнозный баланс потребления воды на срок не менее 10 лет с учетом сценария развития Чугуевского муниципального округа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</w:r>
      <w:bookmarkEnd w:id="63"/>
    </w:p>
    <w:p>
      <w:pPr>
        <w:pStyle w:val="Normal"/>
        <w:spacing w:before="0" w:after="120"/>
        <w:rPr/>
      </w:pPr>
      <w:r>
        <w:rPr/>
        <w:t xml:space="preserve">Водоснабжение каждого населенного пункта предлагается от существующих и вновь проектируемых водозаборных сооружений, с увеличением их производительности до необходимых потребностей. </w:t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 xml:space="preserve">Удельное среднесуточное водопотребление населенных пунктов и комплексов отдыха принимается в соответствии с ВСН 23-75, нормативов государственных социальных стандартов и приведено в таблице </w:t>
      </w:r>
      <w:r>
        <w:rPr/>
        <w:t>1.</w:t>
      </w:r>
      <w:r>
        <w:rPr>
          <w:szCs w:val="24"/>
        </w:rPr>
        <w:t>5.6.</w:t>
      </w:r>
    </w:p>
    <w:p>
      <w:pPr>
        <w:pStyle w:val="Normal"/>
        <w:spacing w:before="0" w:after="120"/>
        <w:rPr/>
      </w:pPr>
      <w:r>
        <w:rPr/>
        <w:t>Принятое удельное среднесуточное водопотребление населением включает расходы воды на хозяйственно питьевые нужды в жилых и общественных зданиях, нужды местной промышленности, полив улиц и зеленых насаждений, полив приусадебных участков, нужды домашнего животноводства в населенных пунктах, неучтенные расходы.</w:t>
      </w:r>
    </w:p>
    <w:p>
      <w:pPr>
        <w:pStyle w:val="Normal"/>
        <w:spacing w:before="0" w:after="120"/>
        <w:rPr>
          <w:szCs w:val="26"/>
        </w:rPr>
      </w:pPr>
      <w:r>
        <w:rPr/>
        <w:t>Расход воды в местах отдыха рассчитан на максимальную нагрузку, т.е. летний период и в принятые нормы включены (кроме полива) дополнительные расходы воды на групповые душевые и ножные ванны в бытовых зданиях, на стирку белья в прачечных, на приготовление пищи на предприятиях общественного питания</w:t>
      </w:r>
      <w:r>
        <w:rPr>
          <w:szCs w:val="26"/>
        </w:rPr>
        <w:t>.</w:t>
      </w:r>
    </w:p>
    <w:p>
      <w:pPr>
        <w:pStyle w:val="Normal"/>
        <w:spacing w:before="0" w:after="0"/>
        <w:rPr/>
      </w:pPr>
      <w:r>
        <w:rPr/>
        <w:t xml:space="preserve">Расходы воды по муниципальному образованию: 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Среднесуточный расход воды составляет: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 w:val="false"/>
        <w:jc w:val="both"/>
        <w:rPr>
          <w:sz w:val="24"/>
        </w:rPr>
      </w:pPr>
      <w:r>
        <w:rPr>
          <w:sz w:val="24"/>
        </w:rPr>
        <w:t>существующее положение, питьевая вода – 812,8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/сут. (2021 год); 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0" w:leader="none"/>
        </w:tabs>
        <w:spacing w:lineRule="auto" w:line="276" w:before="0" w:after="120"/>
        <w:contextualSpacing w:val="false"/>
        <w:jc w:val="both"/>
        <w:rPr>
          <w:sz w:val="24"/>
        </w:rPr>
      </w:pPr>
      <w:r>
        <w:rPr>
          <w:sz w:val="24"/>
        </w:rPr>
        <w:t>на расчетный срок питьевая вода – 2445,0 м</w:t>
      </w:r>
      <w:r>
        <w:rPr>
          <w:sz w:val="24"/>
          <w:vertAlign w:val="superscript"/>
        </w:rPr>
        <w:t>3</w:t>
      </w:r>
      <w:r>
        <w:rPr>
          <w:sz w:val="24"/>
        </w:rPr>
        <w:t>/сут.  (2032 год)</w:t>
      </w:r>
    </w:p>
    <w:p>
      <w:pPr>
        <w:pStyle w:val="ListParagraph"/>
        <w:numPr>
          <w:ilvl w:val="0"/>
          <w:numId w:val="10"/>
        </w:numPr>
        <w:spacing w:lineRule="auto" w:line="276" w:before="0" w:after="60"/>
        <w:ind w:left="850" w:hanging="289"/>
        <w:contextualSpacing w:val="false"/>
        <w:jc w:val="both"/>
        <w:rPr>
          <w:sz w:val="24"/>
        </w:rPr>
      </w:pPr>
      <w:r>
        <w:rPr>
          <w:sz w:val="24"/>
        </w:rPr>
        <w:t xml:space="preserve">Расчётные расходы воды в сутки наибольшего водопотребления, исходя из формулы: </w:t>
      </w:r>
    </w:p>
    <w:p>
      <w:pPr>
        <w:pStyle w:val="Normal"/>
        <w:spacing w:before="0" w:after="60"/>
        <w:jc w:val="center"/>
        <w:rPr>
          <w:szCs w:val="24"/>
        </w:rPr>
      </w:pPr>
      <w:r>
        <w:rPr>
          <w:szCs w:val="24"/>
        </w:rPr>
        <w:t>Q</w:t>
      </w:r>
      <w:r>
        <w:rPr>
          <w:szCs w:val="24"/>
          <w:vertAlign w:val="subscript"/>
        </w:rPr>
        <w:t xml:space="preserve">сут.max </w:t>
      </w:r>
      <w:r>
        <w:rPr>
          <w:szCs w:val="24"/>
        </w:rPr>
        <w:t>= К</w:t>
      </w:r>
      <w:r>
        <w:rPr>
          <w:szCs w:val="24"/>
          <w:vertAlign w:val="subscript"/>
        </w:rPr>
        <w:t xml:space="preserve">сут.maх </w:t>
      </w:r>
      <w:r>
        <w:rPr>
          <w:szCs w:val="24"/>
        </w:rPr>
        <w:t>х Q</w:t>
      </w:r>
      <w:r>
        <w:rPr>
          <w:szCs w:val="24"/>
          <w:vertAlign w:val="subscript"/>
        </w:rPr>
        <w:t>ср</w:t>
      </w:r>
      <w:r>
        <w:rPr>
          <w:szCs w:val="24"/>
        </w:rPr>
        <w:t xml:space="preserve"> [1] (п.2,2 СНиП 2.04.02-84), </w:t>
      </w:r>
    </w:p>
    <w:p>
      <w:pPr>
        <w:pStyle w:val="Normal"/>
        <w:spacing w:before="0" w:after="60"/>
        <w:jc w:val="left"/>
        <w:rPr>
          <w:szCs w:val="24"/>
        </w:rPr>
      </w:pPr>
      <w:r>
        <w:rPr>
          <w:szCs w:val="24"/>
        </w:rPr>
        <w:t>где  К</w:t>
      </w:r>
      <w:r>
        <w:rPr>
          <w:szCs w:val="24"/>
          <w:vertAlign w:val="subscript"/>
        </w:rPr>
        <w:t xml:space="preserve">сут.max </w:t>
      </w:r>
      <w:r>
        <w:rPr>
          <w:szCs w:val="24"/>
        </w:rPr>
        <w:t>= 1,1 составят: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contextualSpacing w:val="false"/>
        <w:jc w:val="both"/>
        <w:rPr>
          <w:sz w:val="24"/>
        </w:rPr>
      </w:pPr>
      <w:r>
        <w:rPr>
          <w:sz w:val="24"/>
        </w:rPr>
        <w:t>существующее положение - Q</w:t>
      </w:r>
      <w:r>
        <w:rPr>
          <w:sz w:val="24"/>
          <w:vertAlign w:val="subscript"/>
        </w:rPr>
        <w:t xml:space="preserve">сут.max  </w:t>
      </w:r>
      <w:r>
        <w:rPr>
          <w:sz w:val="24"/>
        </w:rPr>
        <w:t xml:space="preserve">= 1,1 х 812,8 = </w:t>
      </w:r>
      <w:r>
        <w:rPr/>
        <w:t>894,1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/сут.(2021 год); </w:t>
      </w:r>
    </w:p>
    <w:p>
      <w:pPr>
        <w:pStyle w:val="ListParagraph"/>
        <w:numPr>
          <w:ilvl w:val="0"/>
          <w:numId w:val="12"/>
        </w:numPr>
        <w:spacing w:lineRule="auto" w:line="276" w:before="0" w:after="120"/>
        <w:contextualSpacing w:val="false"/>
        <w:jc w:val="both"/>
        <w:rPr>
          <w:sz w:val="24"/>
        </w:rPr>
      </w:pPr>
      <w:r>
        <w:rPr>
          <w:sz w:val="24"/>
        </w:rPr>
        <w:t>на расчётный срок - Q</w:t>
      </w:r>
      <w:r>
        <w:rPr>
          <w:sz w:val="24"/>
          <w:vertAlign w:val="subscript"/>
        </w:rPr>
        <w:t xml:space="preserve">рсут.max </w:t>
      </w:r>
      <w:r>
        <w:rPr>
          <w:sz w:val="24"/>
        </w:rPr>
        <w:t xml:space="preserve">= 1,1 х 2445,0 = </w:t>
      </w:r>
      <w:r>
        <w:rPr/>
        <w:t>2689,50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/сут. </w:t>
      </w:r>
    </w:p>
    <w:p>
      <w:pPr>
        <w:pStyle w:val="2"/>
        <w:numPr>
          <w:ilvl w:val="2"/>
          <w:numId w:val="60"/>
        </w:numPr>
        <w:spacing w:lineRule="auto" w:line="240"/>
        <w:rPr>
          <w:szCs w:val="22"/>
        </w:rPr>
      </w:pPr>
      <w:bookmarkStart w:id="64" w:name="_Toc107492614"/>
      <w:r>
        <w:rPr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64"/>
    </w:p>
    <w:p>
      <w:pPr>
        <w:pStyle w:val="Normal"/>
        <w:rPr/>
      </w:pPr>
      <w:r>
        <w:rPr/>
        <w:t>Централизованная система горячего водоснабжения на территории Чугуевского муниципального округа отсутствует.</w:t>
      </w:r>
    </w:p>
    <w:p>
      <w:pPr>
        <w:pStyle w:val="2"/>
        <w:numPr>
          <w:ilvl w:val="2"/>
          <w:numId w:val="61"/>
        </w:numPr>
        <w:spacing w:lineRule="auto" w:line="240"/>
        <w:rPr>
          <w:szCs w:val="22"/>
        </w:rPr>
      </w:pPr>
      <w:bookmarkStart w:id="65" w:name="_Toc107492615"/>
      <w:r>
        <w:rPr/>
        <w:t>Сведения о фактическом и ожидаемом потреблении воды (годовое, среднесуточное, максимальное суточное)</w:t>
      </w:r>
      <w:bookmarkEnd w:id="65"/>
    </w:p>
    <w:p>
      <w:pPr>
        <w:pStyle w:val="Normal"/>
        <w:spacing w:before="0" w:after="0"/>
        <w:rPr/>
      </w:pPr>
      <w:r>
        <w:rPr/>
        <w:t xml:space="preserve">Фактическое потребление (реализация) воды за 2021 год составило </w:t>
      </w:r>
      <w:r>
        <w:rPr>
          <w:szCs w:val="24"/>
        </w:rPr>
        <w:t>296,67</w:t>
      </w:r>
      <w:r>
        <w:rPr/>
        <w:t xml:space="preserve"> тыс. м</w:t>
      </w:r>
      <w:r>
        <w:rPr>
          <w:vertAlign w:val="superscript"/>
        </w:rPr>
        <w:t>3</w:t>
      </w:r>
      <w:r>
        <w:rPr/>
        <w:t>/год, среднесуточный расход составил 812,8 м</w:t>
      </w:r>
      <w:r>
        <w:rPr>
          <w:vertAlign w:val="superscript"/>
        </w:rPr>
        <w:t>3</w:t>
      </w:r>
      <w:r>
        <w:rPr/>
        <w:t xml:space="preserve">/сут, в сутки наибольшего водопотребления расход </w:t>
      </w:r>
      <w:r>
        <w:rPr>
          <w:szCs w:val="24"/>
        </w:rPr>
        <w:t xml:space="preserve">составил </w:t>
      </w:r>
      <w:r>
        <w:rPr/>
        <w:t>894,1</w:t>
      </w:r>
      <w:r>
        <w:rPr>
          <w:szCs w:val="24"/>
        </w:rPr>
        <w:t xml:space="preserve"> м</w:t>
      </w:r>
      <w:r>
        <w:rPr>
          <w:szCs w:val="24"/>
          <w:vertAlign w:val="superscript"/>
        </w:rPr>
        <w:t>3</w:t>
      </w:r>
      <w:r>
        <w:rPr>
          <w:szCs w:val="24"/>
        </w:rPr>
        <w:t>/сут</w:t>
      </w:r>
      <w:r>
        <w:rPr/>
        <w:t xml:space="preserve">. </w:t>
      </w:r>
    </w:p>
    <w:p>
      <w:pPr>
        <w:pStyle w:val="Normal"/>
        <w:spacing w:before="0" w:after="0"/>
        <w:rPr/>
      </w:pPr>
      <w:r>
        <w:rPr/>
        <w:t>На расчетный срок расчетное среднесуточное водопотребление составит – 2445,0 м</w:t>
      </w:r>
      <w:r>
        <w:rPr>
          <w:vertAlign w:val="superscript"/>
        </w:rPr>
        <w:t>3</w:t>
      </w:r>
      <w:r>
        <w:rPr/>
        <w:t>/сут, в сутки максимального водопотребления расход составит 2689,50 м</w:t>
      </w:r>
      <w:r>
        <w:rPr>
          <w:vertAlign w:val="superscript"/>
        </w:rPr>
        <w:t>3</w:t>
      </w:r>
      <w:r>
        <w:rPr/>
        <w:t>/сут, годовое потребление – 892,4 тыс. м</w:t>
      </w:r>
      <w:r>
        <w:rPr>
          <w:vertAlign w:val="superscript"/>
        </w:rPr>
        <w:t>3</w:t>
      </w:r>
      <w:r>
        <w:rPr/>
        <w:t>/год.</w:t>
      </w:r>
    </w:p>
    <w:p>
      <w:pPr>
        <w:pStyle w:val="2"/>
        <w:numPr>
          <w:ilvl w:val="2"/>
          <w:numId w:val="62"/>
        </w:numPr>
        <w:spacing w:lineRule="auto" w:line="240"/>
        <w:rPr>
          <w:szCs w:val="22"/>
        </w:rPr>
      </w:pPr>
      <w:bookmarkStart w:id="66" w:name="_Toc107492616"/>
      <w:r>
        <w:rPr/>
        <w:t>Описание территориальной структуры потребления горячей, питьевой, технической воды по технологическим зонам</w:t>
      </w:r>
      <w:bookmarkEnd w:id="66"/>
    </w:p>
    <w:p>
      <w:pPr>
        <w:pStyle w:val="Normal"/>
        <w:spacing w:before="0" w:after="0"/>
        <w:rPr/>
      </w:pPr>
      <w:r>
        <w:rPr/>
        <w:t xml:space="preserve">Эксплуатацию систем водоснабжения на территории </w:t>
      </w:r>
      <w:r>
        <w:rPr>
          <w:lang w:eastAsia="zh-CN"/>
        </w:rPr>
        <w:t xml:space="preserve">Чугуевского муниципального округа </w:t>
      </w:r>
      <w:r>
        <w:rPr/>
        <w:t xml:space="preserve">осуществляют ООО «Водолей», осуществляют регулируемые виды деятельности в сфере водоснабжения и водоотведения. Всю территорию </w:t>
      </w:r>
      <w:r>
        <w:rPr>
          <w:lang w:eastAsia="zh-CN"/>
        </w:rPr>
        <w:t>Чугуевского муниципального округа</w:t>
      </w:r>
      <w:r>
        <w:rPr/>
        <w:t xml:space="preserve"> можно представить одной технологической зоной. Наибольшее водопотребление характеризуется наибольшим числом потребителей и плотностью расположения промышленных и иных предприятий.</w:t>
      </w:r>
    </w:p>
    <w:p>
      <w:pPr>
        <w:pStyle w:val="Normal"/>
        <w:spacing w:before="0" w:after="0"/>
        <w:rPr/>
      </w:pPr>
      <w:r>
        <w:rPr/>
        <w:t xml:space="preserve">Фактическое потребление (реализация) воды за 2021 год составило </w:t>
      </w:r>
      <w:r>
        <w:rPr>
          <w:szCs w:val="24"/>
        </w:rPr>
        <w:t>296,67</w:t>
      </w:r>
      <w:r>
        <w:rPr/>
        <w:t xml:space="preserve"> тыс. м</w:t>
      </w:r>
      <w:r>
        <w:rPr>
          <w:vertAlign w:val="superscript"/>
        </w:rPr>
        <w:t>3</w:t>
      </w:r>
      <w:r>
        <w:rPr/>
        <w:t>/год, среднесуточный расход составил 812,8 м</w:t>
      </w:r>
      <w:r>
        <w:rPr>
          <w:vertAlign w:val="superscript"/>
        </w:rPr>
        <w:t>3</w:t>
      </w:r>
      <w:r>
        <w:rPr/>
        <w:t xml:space="preserve">/сут. </w:t>
      </w:r>
    </w:p>
    <w:p>
      <w:pPr>
        <w:pStyle w:val="Normal"/>
        <w:spacing w:before="0" w:after="0"/>
        <w:rPr/>
      </w:pPr>
      <w:r>
        <w:rPr/>
        <w:t>Структура территориального баланса подачи воды по зонам действия водопроводных сооружений представлена в таблице 1.5.10.</w:t>
      </w:r>
    </w:p>
    <w:p>
      <w:pPr>
        <w:pStyle w:val="Normal"/>
        <w:spacing w:before="0" w:after="120"/>
        <w:ind w:hanging="0"/>
        <w:jc w:val="right"/>
        <w:rPr/>
      </w:pPr>
      <w:r>
        <w:rPr/>
        <w:t>Таблица 1.5.10</w:t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65"/>
        <w:gridCol w:w="2060"/>
        <w:gridCol w:w="1513"/>
        <w:gridCol w:w="1787"/>
        <w:gridCol w:w="1375"/>
      </w:tblGrid>
      <w:tr>
        <w:trPr>
          <w:trHeight w:val="139" w:hRule="atLeast"/>
        </w:trPr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Населенный пункт, территория</w:t>
            </w:r>
          </w:p>
        </w:tc>
        <w:tc>
          <w:tcPr>
            <w:tcW w:w="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Подача питьевой воды</w:t>
            </w:r>
          </w:p>
        </w:tc>
      </w:tr>
      <w:tr>
        <w:trPr>
          <w:trHeight w:val="85" w:hRule="atLeast"/>
        </w:trPr>
        <w:tc>
          <w:tcPr>
            <w:tcW w:w="3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Существующее положение, 2021 год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Расчетный срок, 2032 год</w:t>
            </w:r>
          </w:p>
        </w:tc>
      </w:tr>
      <w:tr>
        <w:trPr>
          <w:trHeight w:val="594" w:hRule="atLeast"/>
          <w:cantSplit w:val="true"/>
        </w:trPr>
        <w:tc>
          <w:tcPr>
            <w:tcW w:w="3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в сутки максимального водопотребления, м</w:t>
            </w:r>
            <w:r>
              <w:rPr>
                <w:rFonts w:eastAsia="Calibri" w:eastAsiaTheme="minorHAnsi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/сут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годовой, тыс. м</w:t>
            </w:r>
            <w:r>
              <w:rPr>
                <w:rFonts w:eastAsia="Calibri" w:eastAsiaTheme="minorHAnsi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в сутки максимального водопотребления, м</w:t>
            </w:r>
            <w:r>
              <w:rPr>
                <w:rFonts w:eastAsia="Calibri" w:eastAsiaTheme="minorHAnsi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/сут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годовой, тыс. м</w:t>
            </w:r>
            <w:r>
              <w:rPr>
                <w:rFonts w:eastAsia="Calibri" w:eastAsiaTheme="minorHAnsi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eastAsiaTheme="minorHAnsi"/>
                <w:b/>
                <w:color w:val="000000"/>
                <w:sz w:val="20"/>
                <w:szCs w:val="20"/>
              </w:rPr>
              <w:t>/год</w:t>
            </w:r>
          </w:p>
        </w:tc>
      </w:tr>
      <w:tr>
        <w:trPr>
          <w:trHeight w:val="85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</w:rPr>
              <w:t>Чугуевский муниципальный округ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894,1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296,67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2689,50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892,4</w:t>
            </w:r>
          </w:p>
        </w:tc>
      </w:tr>
    </w:tbl>
    <w:p>
      <w:pPr>
        <w:pStyle w:val="2"/>
        <w:numPr>
          <w:ilvl w:val="2"/>
          <w:numId w:val="63"/>
        </w:numPr>
        <w:spacing w:lineRule="auto" w:line="240"/>
        <w:rPr>
          <w:szCs w:val="22"/>
        </w:rPr>
      </w:pPr>
      <w:bookmarkStart w:id="67" w:name="_Toc107492617"/>
      <w:r>
        <w:rPr>
          <w:rStyle w:val="FontStyle158"/>
          <w:rFonts w:eastAsia="Arial Unicode MS"/>
          <w:sz w:val="24"/>
          <w:szCs w:val="24"/>
        </w:rPr>
        <w:t>Прогноз распределения расходов воды на водоснабжение, по типам абонентов, исходя из фактических расходов воды с учетом данных о перспективном потреблении воды абонентами</w:t>
      </w:r>
      <w:bookmarkEnd w:id="67"/>
    </w:p>
    <w:p>
      <w:pPr>
        <w:pStyle w:val="Normal"/>
        <w:spacing w:before="0" w:after="0"/>
        <w:rPr>
          <w:lang w:eastAsia="zh-CN"/>
        </w:rPr>
      </w:pPr>
      <w:r>
        <w:rPr>
          <w:lang w:eastAsia="zh-CN"/>
        </w:rPr>
        <w:t xml:space="preserve">Оценка расходов воды на территории Чугуевского муниципального округа представлена в таблице </w:t>
      </w:r>
      <w:r>
        <w:rPr/>
        <w:t>1.</w:t>
      </w:r>
      <w:r>
        <w:rPr>
          <w:lang w:eastAsia="zh-CN"/>
        </w:rPr>
        <w:t>5.11.</w:t>
      </w:r>
    </w:p>
    <w:p>
      <w:pPr>
        <w:pStyle w:val="Normal"/>
        <w:spacing w:before="0" w:after="120"/>
        <w:ind w:hanging="0"/>
        <w:jc w:val="right"/>
        <w:rPr>
          <w:lang w:eastAsia="zh-CN"/>
        </w:rPr>
      </w:pPr>
      <w:r>
        <w:rPr>
          <w:lang w:eastAsia="zh-CN"/>
        </w:rPr>
        <w:t xml:space="preserve">Таблица </w:t>
      </w:r>
      <w:r>
        <w:rPr/>
        <w:t>1.</w:t>
      </w:r>
      <w:r>
        <w:rPr>
          <w:lang w:eastAsia="zh-CN"/>
        </w:rPr>
        <w:t>5.11</w:t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3341"/>
        <w:gridCol w:w="2078"/>
        <w:gridCol w:w="1806"/>
        <w:gridCol w:w="2774"/>
      </w:tblGrid>
      <w:tr>
        <w:trPr>
          <w:trHeight w:val="330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81"/>
              <w:widowControl w:val="false"/>
              <w:spacing w:lineRule="atLeast" w:line="23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FontStyle162"/>
                <w:bCs/>
                <w:sz w:val="20"/>
                <w:szCs w:val="20"/>
              </w:rPr>
              <w:t>Категория потребителей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81"/>
              <w:widowControl w:val="false"/>
              <w:spacing w:lineRule="atLeast" w:line="23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FontStyle162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FontStyle163"/>
                <w:b/>
                <w:sz w:val="20"/>
                <w:szCs w:val="20"/>
              </w:rPr>
              <w:t>Расчетный срок, 2032 год</w:t>
            </w:r>
          </w:p>
        </w:tc>
      </w:tr>
      <w:tr>
        <w:trPr>
          <w:trHeight w:val="138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81"/>
              <w:widowControl w:val="false"/>
              <w:spacing w:lineRule="atLeast" w:line="23"/>
              <w:rPr>
                <w:sz w:val="20"/>
                <w:szCs w:val="20"/>
              </w:rPr>
            </w:pPr>
            <w:r>
              <w:rPr>
                <w:rStyle w:val="FontStyle162"/>
                <w:bCs/>
                <w:sz w:val="20"/>
                <w:szCs w:val="20"/>
              </w:rPr>
              <w:t>Всего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jc w:val="center"/>
              <w:rPr>
                <w:sz w:val="20"/>
                <w:szCs w:val="20"/>
              </w:rPr>
            </w:pPr>
            <w:r>
              <w:rPr>
                <w:rStyle w:val="FontStyle163"/>
                <w:sz w:val="20"/>
                <w:szCs w:val="20"/>
              </w:rPr>
              <w:t>тыс. м</w:t>
            </w:r>
            <w:r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296,67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892,4</w:t>
            </w:r>
          </w:p>
        </w:tc>
      </w:tr>
      <w:tr>
        <w:trPr>
          <w:trHeight w:val="240" w:hRule="atLeast"/>
        </w:trPr>
        <w:tc>
          <w:tcPr>
            <w:tcW w:w="9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1"/>
              <w:widowControl w:val="false"/>
              <w:spacing w:lineRule="atLeast" w:line="23"/>
              <w:rPr>
                <w:sz w:val="20"/>
                <w:szCs w:val="20"/>
                <w:shd w:fill="FF0000" w:val="clear"/>
              </w:rPr>
            </w:pPr>
            <w:r>
              <w:rPr>
                <w:rStyle w:val="FontStyle163"/>
                <w:sz w:val="20"/>
                <w:szCs w:val="20"/>
              </w:rPr>
              <w:t>в том числе:</w:t>
            </w:r>
          </w:p>
        </w:tc>
      </w:tr>
      <w:tr>
        <w:trPr>
          <w:trHeight w:val="180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rPr>
                <w:sz w:val="20"/>
                <w:szCs w:val="20"/>
              </w:rPr>
            </w:pPr>
            <w:r>
              <w:rPr>
                <w:rStyle w:val="FontStyle163"/>
                <w:sz w:val="20"/>
                <w:szCs w:val="20"/>
              </w:rPr>
              <w:t>Население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jc w:val="center"/>
              <w:rPr>
                <w:sz w:val="20"/>
                <w:szCs w:val="20"/>
              </w:rPr>
            </w:pPr>
            <w:r>
              <w:rPr>
                <w:rStyle w:val="FontStyle163"/>
                <w:sz w:val="20"/>
                <w:szCs w:val="20"/>
              </w:rPr>
              <w:t>тыс. м</w:t>
            </w:r>
            <w:r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198,31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н/д</w:t>
            </w:r>
          </w:p>
        </w:tc>
      </w:tr>
      <w:tr>
        <w:trPr>
          <w:trHeight w:val="138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организации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jc w:val="center"/>
              <w:rPr>
                <w:rStyle w:val="FontStyle163"/>
                <w:sz w:val="20"/>
                <w:szCs w:val="20"/>
              </w:rPr>
            </w:pPr>
            <w:r>
              <w:rPr>
                <w:rStyle w:val="FontStyle163"/>
                <w:sz w:val="20"/>
                <w:szCs w:val="20"/>
              </w:rPr>
              <w:t>тыс. м</w:t>
            </w:r>
            <w:r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н/д</w:t>
            </w:r>
          </w:p>
        </w:tc>
      </w:tr>
      <w:tr>
        <w:trPr>
          <w:trHeight w:val="169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1"/>
              <w:widowControl w:val="false"/>
              <w:spacing w:lineRule="atLeast" w:line="23"/>
              <w:jc w:val="center"/>
              <w:rPr>
                <w:sz w:val="20"/>
                <w:szCs w:val="20"/>
              </w:rPr>
            </w:pPr>
            <w:r>
              <w:rPr>
                <w:rStyle w:val="FontStyle163"/>
                <w:sz w:val="20"/>
                <w:szCs w:val="20"/>
              </w:rPr>
              <w:t>тыс. м</w:t>
            </w:r>
            <w:r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н/д</w:t>
            </w:r>
          </w:p>
        </w:tc>
      </w:tr>
    </w:tbl>
    <w:p>
      <w:pPr>
        <w:pStyle w:val="2"/>
        <w:numPr>
          <w:ilvl w:val="2"/>
          <w:numId w:val="64"/>
        </w:numPr>
        <w:spacing w:lineRule="auto" w:line="240"/>
        <w:rPr>
          <w:szCs w:val="22"/>
        </w:rPr>
      </w:pPr>
      <w:bookmarkStart w:id="68" w:name="_Toc107492618"/>
      <w:r>
        <w:rPr>
          <w:lang w:eastAsia="zh-CN"/>
        </w:rPr>
        <w:t>Сведения о фактических и планируемых потерях воды при ее транспортировке (годовые, среднесуточные значения)</w:t>
      </w:r>
      <w:bookmarkEnd w:id="68"/>
    </w:p>
    <w:p>
      <w:pPr>
        <w:pStyle w:val="Normal"/>
        <w:spacing w:before="0" w:after="0"/>
        <w:rPr>
          <w:lang w:eastAsia="zh-CN"/>
        </w:rPr>
      </w:pPr>
      <w:r>
        <w:rPr>
          <w:lang w:eastAsia="zh-CN"/>
        </w:rPr>
        <w:t xml:space="preserve">Информация о фактических и планируемых потерях воды на территории Чугуевского муниципального округа на момент разработки настоящей схемы </w:t>
      </w:r>
      <w:r>
        <w:rPr>
          <w:szCs w:val="24"/>
          <w:lang w:eastAsia="zh-CN"/>
        </w:rPr>
        <w:t xml:space="preserve">составляет </w:t>
      </w:r>
      <w:r>
        <w:rPr>
          <w:szCs w:val="24"/>
        </w:rPr>
        <w:t>33,66</w:t>
      </w:r>
      <w:r>
        <w:rPr>
          <w:szCs w:val="24"/>
          <w:lang w:eastAsia="zh-CN"/>
        </w:rPr>
        <w:t> тыс. м</w:t>
      </w:r>
      <w:r>
        <w:rPr>
          <w:szCs w:val="24"/>
          <w:vertAlign w:val="superscript"/>
          <w:lang w:eastAsia="zh-CN"/>
        </w:rPr>
        <w:t>3</w:t>
      </w:r>
      <w:r>
        <w:rPr>
          <w:szCs w:val="24"/>
          <w:lang w:eastAsia="zh-CN"/>
        </w:rPr>
        <w:t>/год</w:t>
      </w:r>
      <w:r>
        <w:rPr>
          <w:lang w:eastAsia="zh-CN"/>
        </w:rPr>
        <w:t>.</w:t>
      </w:r>
    </w:p>
    <w:p>
      <w:pPr>
        <w:pStyle w:val="Normal"/>
        <w:rPr>
          <w:lang w:eastAsia="zh-CN"/>
        </w:rPr>
      </w:pPr>
      <w:r>
        <w:rPr>
          <w:lang w:eastAsia="zh-CN"/>
        </w:rPr>
        <w:t xml:space="preserve">Для снижения потерь воды на водопроводных сетях, а также при подъеме и перекачке необходимо предусмотреть мероприятия по своевременной замене ветхих и аварийных участков водопроводной сети, произвести реконструкцию водозаборных сооружений с заменой насосного оборудования, а также внедрение систем телемеханики и автоматизированных систем управления технологическими процессами. </w:t>
      </w:r>
    </w:p>
    <w:p>
      <w:pPr>
        <w:pStyle w:val="2"/>
        <w:numPr>
          <w:ilvl w:val="2"/>
          <w:numId w:val="65"/>
        </w:numPr>
        <w:spacing w:lineRule="auto" w:line="240"/>
        <w:rPr>
          <w:szCs w:val="22"/>
        </w:rPr>
      </w:pPr>
      <w:bookmarkStart w:id="69" w:name="_Toc107492619"/>
      <w:r>
        <w:rPr>
          <w:lang w:eastAsia="zh-CN"/>
        </w:rPr>
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  <w:bookmarkEnd w:id="69"/>
    </w:p>
    <w:p>
      <w:pPr>
        <w:pStyle w:val="Normal"/>
        <w:spacing w:before="0" w:after="0"/>
        <w:rPr/>
      </w:pPr>
      <w:r>
        <w:rPr/>
        <w:t>Перспективный баланс потребления воды на территории Чугуевского муниципального округа представлен в таблице 1.5.12.</w:t>
      </w:r>
    </w:p>
    <w:p>
      <w:pPr>
        <w:pStyle w:val="Normal"/>
        <w:spacing w:before="0" w:after="120"/>
        <w:jc w:val="right"/>
        <w:rPr/>
      </w:pPr>
      <w:r>
        <w:rPr/>
        <w:t>Таблица 1.5.12</w:t>
      </w:r>
    </w:p>
    <w:tbl>
      <w:tblPr>
        <w:tblW w:w="48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49"/>
        <w:gridCol w:w="4841"/>
        <w:gridCol w:w="2491"/>
        <w:gridCol w:w="1714"/>
      </w:tblGrid>
      <w:tr>
        <w:trPr>
          <w:trHeight w:val="20" w:hRule="atLeast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Calibri" w:cs="" w:cstheme="minorBidi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>Существующее положение, 2021 год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>Расчетный срок,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>2032 год</w:t>
            </w:r>
          </w:p>
        </w:tc>
      </w:tr>
      <w:tr>
        <w:trPr>
          <w:trHeight w:val="20" w:hRule="atLeast"/>
        </w:trPr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lang w:eastAsia="ru-RU"/>
              </w:rPr>
              <w:t>Объем поднятой воды, (полученной со стороны) тыс. м</w:t>
            </w: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296,67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892,4</w:t>
            </w:r>
          </w:p>
        </w:tc>
      </w:tr>
      <w:tr>
        <w:trPr>
          <w:trHeight w:val="20" w:hRule="atLeast"/>
        </w:trPr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  <w:t>Объем воды на собственные нужды, тыс. м</w:t>
            </w: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20" w:hRule="atLeast"/>
        </w:trPr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lang w:eastAsia="ru-RU"/>
              </w:rPr>
              <w:t>Объем отпуска в сеть, тыс. м</w:t>
            </w: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296,67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892,4</w:t>
            </w:r>
          </w:p>
        </w:tc>
      </w:tr>
      <w:tr>
        <w:trPr>
          <w:trHeight w:val="20" w:hRule="atLeast"/>
        </w:trPr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cs="" w:cstheme="minorBidi" w:eastAsiaTheme="minorHAnsi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lang w:eastAsia="ru-RU"/>
              </w:rPr>
              <w:t>Объем потерь в сетях, тыс. м</w:t>
            </w: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33,66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89,2425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lang w:eastAsia="ru-RU"/>
              </w:rPr>
              <w:t>Объем потерь в сетях, %</w:t>
            </w: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eastAsia="Calibri" w:cs="" w:cstheme="minorBidi"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lang w:eastAsia="ru-RU"/>
              </w:rPr>
              <w:t>Отпущено воды всего по потребителям, тыс. м</w:t>
            </w:r>
            <w:r>
              <w:rPr>
                <w:rFonts w:eastAsia="Calibri" w:cs="" w:cstheme="minorBidi" w:eastAsiaTheme="minorHAnsi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sz w:val="20"/>
                <w:szCs w:val="20"/>
              </w:rPr>
            </w:pPr>
            <w:r>
              <w:rPr>
                <w:rFonts w:eastAsia="Calibri" w:cs="" w:cstheme="minorBidi" w:eastAsiaTheme="minorHAnsi"/>
                <w:sz w:val="20"/>
                <w:szCs w:val="20"/>
              </w:rPr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cs="" w:cstheme="minorBidi"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803,2</w:t>
            </w:r>
          </w:p>
        </w:tc>
      </w:tr>
    </w:tbl>
    <w:p>
      <w:pPr>
        <w:pStyle w:val="2"/>
        <w:numPr>
          <w:ilvl w:val="2"/>
          <w:numId w:val="66"/>
        </w:numPr>
        <w:spacing w:lineRule="auto" w:line="240"/>
        <w:rPr>
          <w:szCs w:val="22"/>
        </w:rPr>
      </w:pPr>
      <w:bookmarkStart w:id="70" w:name="_Toc107492620"/>
      <w:r>
        <w:rPr>
          <w:lang w:eastAsia="zh-CN"/>
        </w:rPr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</w:r>
      <w:bookmarkEnd w:id="70"/>
    </w:p>
    <w:p>
      <w:pPr>
        <w:pStyle w:val="Normal"/>
        <w:spacing w:before="0" w:after="0"/>
        <w:rPr>
          <w:szCs w:val="24"/>
          <w:lang w:eastAsia="zh-CN"/>
        </w:rPr>
      </w:pPr>
      <w:r>
        <w:rPr/>
        <w:t xml:space="preserve">К 2032 году на территории Чугуевского муниципального округа ожидаемое среднесуточное </w:t>
      </w:r>
      <w:r>
        <w:rPr>
          <w:szCs w:val="24"/>
        </w:rPr>
        <w:t>водопотребление составит – 2445,0 м</w:t>
      </w:r>
      <w:r>
        <w:rPr>
          <w:szCs w:val="24"/>
          <w:vertAlign w:val="superscript"/>
        </w:rPr>
        <w:t>3</w:t>
      </w:r>
      <w:r>
        <w:rPr>
          <w:szCs w:val="24"/>
        </w:rPr>
        <w:t>/сут, в сутки максимального водопотребления расход составит 2689,50 м</w:t>
      </w:r>
      <w:r>
        <w:rPr>
          <w:szCs w:val="24"/>
          <w:vertAlign w:val="superscript"/>
        </w:rPr>
        <w:t>3</w:t>
      </w:r>
      <w:r>
        <w:rPr>
          <w:szCs w:val="24"/>
        </w:rPr>
        <w:t>/сут, годовое потребление – 892,4 тыс. 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/год. </w:t>
      </w:r>
    </w:p>
    <w:p>
      <w:pPr>
        <w:pStyle w:val="Normal"/>
        <w:rPr/>
      </w:pPr>
      <w:r>
        <w:rPr>
          <w:szCs w:val="24"/>
        </w:rPr>
        <w:t>Исходя из показателей, величина требуемой мощности водозаборных и водоочистных сооружений определяется величиной необходимого подъема воды в сутки. Исходя из обозначенных выше</w:t>
      </w:r>
      <w:r>
        <w:rPr/>
        <w:t xml:space="preserve"> факторов, требуемая расчетная производительность водозаборных и водоочистных сооружений централизованной системы ХВС Чугуевского муниципального округа представлена в таблице 1.5.13.</w:t>
      </w:r>
    </w:p>
    <w:p>
      <w:pPr>
        <w:pStyle w:val="Normal"/>
        <w:jc w:val="right"/>
        <w:rPr/>
      </w:pPr>
      <w:r>
        <w:rPr/>
        <w:t>Таблица 1.5.13</w:t>
      </w:r>
    </w:p>
    <w:p>
      <w:pPr>
        <w:pStyle w:val="Normal"/>
        <w:ind w:hanging="0"/>
        <w:jc w:val="center"/>
        <w:rPr>
          <w:u w:val="single"/>
        </w:rPr>
      </w:pPr>
      <w:r>
        <w:rPr>
          <w:u w:val="single"/>
        </w:rPr>
        <w:t>Расчет требуемой мощности водозаборных и очистных сооружений</w:t>
      </w:r>
    </w:p>
    <w:tbl>
      <w:tblPr>
        <w:tblW w:w="966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2538"/>
        <w:gridCol w:w="3705"/>
        <w:gridCol w:w="3425"/>
      </w:tblGrid>
      <w:tr>
        <w:trPr>
          <w:trHeight w:val="679" w:hRule="atLeast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технологической зоны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суточный объем поднятой воды на расчётный срок, м³/сут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Требуемая мощность водозаборных и очистных сооружений на 2032 год</w:t>
            </w:r>
          </w:p>
        </w:tc>
      </w:tr>
      <w:tr>
        <w:trPr/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/>
            </w:pPr>
            <w:r>
              <w:rPr>
                <w:rFonts w:eastAsia="Calibri" w:eastAsiaTheme="minorHAnsi"/>
                <w:color w:val="000000"/>
              </w:rPr>
              <w:t>Чугуевский муниципальный округ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2445,0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2"/>
        <w:numPr>
          <w:ilvl w:val="2"/>
          <w:numId w:val="67"/>
        </w:numPr>
        <w:spacing w:lineRule="auto" w:line="240"/>
        <w:rPr>
          <w:szCs w:val="22"/>
        </w:rPr>
      </w:pPr>
      <w:bookmarkStart w:id="71" w:name="_Toc107492621"/>
      <w:r>
        <w:rPr>
          <w:lang w:eastAsia="zh-CN"/>
        </w:rPr>
        <w:t>Наименование организации, наделенной статусом гарантирующей организации</w:t>
      </w:r>
      <w:bookmarkEnd w:id="71"/>
    </w:p>
    <w:p>
      <w:pPr>
        <w:pStyle w:val="Normal"/>
        <w:spacing w:before="0" w:after="0"/>
        <w:rPr>
          <w:lang w:eastAsia="zh-CN"/>
        </w:rPr>
      </w:pPr>
      <w:r>
        <w:rPr>
          <w:lang w:eastAsia="zh-CN"/>
        </w:rPr>
        <w:t xml:space="preserve"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 </w:t>
      </w:r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 xml:space="preserve">Согласно части 1 статьи 12 Федерального закона Российской Федерации от 07 декабря 2011 года №416-ФЗ "О водоснабжении и водоотведении",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деятельности. </w:t>
      </w:r>
    </w:p>
    <w:p>
      <w:pPr>
        <w:pStyle w:val="Normal"/>
        <w:spacing w:before="0" w:after="120"/>
        <w:rPr>
          <w:lang w:eastAsia="zh-CN"/>
        </w:rPr>
      </w:pPr>
      <w:r>
        <w:rPr>
          <w:szCs w:val="24"/>
        </w:rPr>
        <w:t>Согласно части 2 статьи 12 Федерального закона Российской Федерации от 07 декабря 2011 года №416-ФЗ "О водоснабжении и водоотведении", статусом гарантирующей организации наделяется организация, осуществляющая холодное водоснабжение и водоотведение и эксплуатирующая водопроводные и канализационные сети, если к водопроводным и канализационным сетям этой организации присоединено наибольшее количество абонентов из всех организаций, осуществляющих холодное водоснабжение и водоотведение</w:t>
      </w:r>
      <w:r>
        <w:rPr>
          <w:lang w:eastAsia="zh-CN"/>
        </w:rPr>
        <w:t xml:space="preserve">. </w:t>
      </w:r>
    </w:p>
    <w:p>
      <w:pPr>
        <w:pStyle w:val="Normal"/>
        <w:widowControl w:val="false"/>
        <w:rPr/>
      </w:pPr>
      <w:r>
        <w:rPr>
          <w:lang w:eastAsia="zh-CN"/>
        </w:rPr>
        <w:t xml:space="preserve">Согласно Правилам и критериям определения организации, наделенной статусом гарантирующей организации, в соответствии </w:t>
      </w:r>
      <w:r>
        <w:rPr/>
        <w:t>с Федеральными законами от 6 октября 2003 года № 131-ФЗ «Об общих принципах организации местного самоуправления в Российской Федерации», и Постановления Администрации Чугуевского муниципального округа «</w:t>
      </w:r>
      <w:r>
        <w:rPr>
          <w:szCs w:val="24"/>
        </w:rPr>
        <w:t xml:space="preserve">Об определении гарантирующих организаций для централизованных систем холодного водоснабжения и водоотведения на территории </w:t>
      </w:r>
      <w:r>
        <w:rPr/>
        <w:t>Чугуевского муниципального округа»</w:t>
      </w:r>
      <w:r>
        <w:rPr>
          <w:szCs w:val="24"/>
        </w:rPr>
        <w:t>.</w:t>
      </w:r>
    </w:p>
    <w:p>
      <w:pPr>
        <w:pStyle w:val="Normal"/>
        <w:spacing w:before="0" w:after="60"/>
        <w:rPr/>
      </w:pPr>
      <w:r>
        <w:rPr/>
        <w:t>Постановляет:</w:t>
      </w:r>
    </w:p>
    <w:p>
      <w:pPr>
        <w:pStyle w:val="Normal"/>
        <w:spacing w:before="0" w:after="60"/>
        <w:rPr/>
      </w:pPr>
      <w:r>
        <w:rPr/>
        <w:t>Определить гарантирующие организации для централизованных систем холодного водоснабжения и (или) водоотведения на территории Чугуевского муниципального округа и установить зоны их деятельности:</w:t>
      </w:r>
    </w:p>
    <w:p>
      <w:pPr>
        <w:pStyle w:val="Normal"/>
        <w:spacing w:before="0" w:after="60"/>
        <w:rPr/>
      </w:pPr>
      <w:r>
        <w:rPr/>
        <w:t>1) Для централизованных систем холодного водоснабжения в границах Чугуевского муниципального округа:</w:t>
      </w:r>
    </w:p>
    <w:p>
      <w:pPr>
        <w:pStyle w:val="Normal"/>
        <w:spacing w:before="0" w:after="60"/>
        <w:rPr/>
      </w:pPr>
      <w:r>
        <w:rPr/>
        <w:t xml:space="preserve">       </w:t>
      </w:r>
      <w:r>
        <w:rPr/>
        <w:t>ООО «Водолей», зона деятельности: Чугуевский муниципальный округ в границах комплекса технологически связанных между собой инженерных сооружений, находящихся в пределах балансовой принадлежности водопроводных сетей такой организации и предназначенных для водоснабжения, а именно для водоподготовки, транспортировки и подачи питьевой и (или) технической воды, включая сети иных организаций, технологически присоединенных к таким сетям (за исключением сетей и объектов, относящихся к зоне деятельности других гарантирующих организаций, указанных в настоящем постановлении).</w:t>
      </w:r>
    </w:p>
    <w:p>
      <w:pPr>
        <w:pStyle w:val="Normal"/>
        <w:spacing w:before="0" w:after="60"/>
        <w:rPr>
          <w:lang w:eastAsia="zh-CN"/>
        </w:rPr>
      </w:pPr>
      <w:r>
        <w:rPr/>
        <w:t>Установить зоной деятельности ООО «Водолей»</w:t>
      </w:r>
      <w:r>
        <w:rPr>
          <w:lang w:eastAsia="zh-CN"/>
        </w:rPr>
        <w:t xml:space="preserve"> территорию </w:t>
      </w:r>
      <w:r>
        <w:rPr>
          <w:spacing w:val="-2"/>
          <w:szCs w:val="24"/>
        </w:rPr>
        <w:t>Чугуевского муниципального округа</w:t>
      </w:r>
      <w:r>
        <w:rPr/>
        <w:t>.</w:t>
      </w:r>
    </w:p>
    <w:p>
      <w:pPr>
        <w:pStyle w:val="Normal"/>
        <w:spacing w:before="0" w:after="60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auto" w:line="240" w:before="0" w:after="0"/>
        <w:ind w:hanging="0"/>
        <w:jc w:val="left"/>
        <w:rPr>
          <w:rStyle w:val="FontStyle157"/>
          <w:rFonts w:eastAsia="" w:eastAsiaTheme="majorEastAsia"/>
          <w:bCs/>
          <w:sz w:val="24"/>
          <w:szCs w:val="24"/>
          <w:lang w:eastAsia="en-US"/>
        </w:rPr>
      </w:pPr>
      <w:r>
        <w:rPr>
          <w:rFonts w:eastAsia="" w:eastAsiaTheme="majorEastAsia"/>
          <w:bCs/>
          <w:sz w:val="24"/>
          <w:szCs w:val="24"/>
          <w:lang w:eastAsia="en-US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72" w:name="_Toc107492622"/>
      <w:r>
        <w:rPr>
          <w:rStyle w:val="FontStyle157"/>
          <w:rFonts w:eastAsia="" w:eastAsiaTheme="majorEastAsia"/>
          <w:b/>
          <w:sz w:val="24"/>
          <w:szCs w:val="24"/>
          <w:lang w:eastAsia="en-US"/>
        </w:rPr>
        <w:t>ПРЕДЛОЖЕНИЯ ПО СТРОИТЕЛЬСТВУ, РЕКОНСТРУКЦИИ И МОДЕРНИЗАЦИИ ОБЪЕКТОВ ЦЕНТРАЛИЗОВАННЫХ СИСТЕМ ВОДОСНАБЖЕНИЯ</w:t>
      </w:r>
      <w:bookmarkEnd w:id="72"/>
    </w:p>
    <w:p>
      <w:pPr>
        <w:pStyle w:val="Normal"/>
        <w:rPr/>
      </w:pPr>
      <w:r>
        <w:rPr/>
        <w:t>Раздел формируется с учетом планов мероприятий по приведению качества питьевой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</w:p>
    <w:p>
      <w:pPr>
        <w:pStyle w:val="2"/>
        <w:numPr>
          <w:ilvl w:val="2"/>
          <w:numId w:val="68"/>
        </w:numPr>
        <w:spacing w:lineRule="auto" w:line="240"/>
        <w:rPr>
          <w:szCs w:val="24"/>
        </w:rPr>
      </w:pPr>
      <w:bookmarkStart w:id="73" w:name="_Toc107492623"/>
      <w:r>
        <w:rPr/>
        <w:t>Перечень основных мероприятий по реализации схем водоснабжения с разбивкой по годам</w:t>
      </w:r>
      <w:bookmarkEnd w:id="73"/>
    </w:p>
    <w:p>
      <w:pPr>
        <w:pStyle w:val="Normal"/>
        <w:spacing w:before="0" w:after="60"/>
        <w:rPr>
          <w:szCs w:val="24"/>
        </w:rPr>
      </w:pPr>
      <w:r>
        <w:rPr>
          <w:i/>
          <w:szCs w:val="24"/>
        </w:rPr>
        <w:t>В целом по муниципальному образованию. Сроки реализации проекта: 2022-2032 гг.</w:t>
      </w:r>
      <w:r>
        <w:rPr>
          <w:szCs w:val="24"/>
        </w:rPr>
        <w:t>: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замена ветхих участков водопроводных сетей; 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обеспечение качества воды, соответствующее требованиям СанПиН 1.2.3684-21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</w:p>
    <w:p>
      <w:pPr>
        <w:pStyle w:val="Normal"/>
        <w:spacing w:before="0" w:after="60"/>
        <w:rPr>
          <w:i/>
          <w:i/>
        </w:rPr>
      </w:pPr>
      <w:r>
        <w:rPr>
          <w:i/>
        </w:rPr>
        <w:t xml:space="preserve">Также предусматривается на период с 2022-2032 гг.: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пункта. Произвести инвентаризацию и анкетирование водного хозяйства всех водопользователей;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обследование состояния источников питьевого водоснабжения и анализ зон санитарной охраны, соблюдение границ и режимов трех поясов ЗСО источников водоснабжения,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поясов;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реконструкция и замена аварийных участков трубопроводов системы водоснабжения, замена запорной и регулирующей арматуры;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прокладка новых трубопроводов системы водоснабжения, для обеспечения потребностей абонентов перспективной жилой застройки;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реконструкция существующих водозаборных сооружений, поэтапная замена насосного и вспомогательного оборудования. Обеспечение производительности водопроводных сооружений до необходимых потребностей;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промывка и дезинфекция водопроводных сетей, водонапорных башен и резервуаров; 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домах;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сооружений;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оборудование всех действующих водозаборных сооружений приборами учета. </w:t>
      </w:r>
    </w:p>
    <w:p>
      <w:pPr>
        <w:pStyle w:val="2"/>
        <w:numPr>
          <w:ilvl w:val="2"/>
          <w:numId w:val="69"/>
        </w:numPr>
        <w:spacing w:lineRule="auto" w:line="240"/>
        <w:rPr>
          <w:szCs w:val="24"/>
        </w:rPr>
      </w:pPr>
      <w:bookmarkStart w:id="74" w:name="_Toc107492624"/>
      <w:r>
        <w:rPr>
          <w:szCs w:val="24"/>
        </w:rPr>
        <w:t>Технические обоснования основных мероприятий по реализации схем</w:t>
      </w:r>
      <w:r>
        <w:rPr/>
        <w:t xml:space="preserve"> водоснабжения</w:t>
      </w:r>
      <w:bookmarkEnd w:id="74"/>
    </w:p>
    <w:p>
      <w:pPr>
        <w:pStyle w:val="Normal"/>
        <w:rPr/>
      </w:pPr>
      <w:r>
        <w:rPr/>
        <w:t>Обеспечение подачи абонентам определенного объема питьевой воды установленного качества.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замена ветхих участков водопроводных сетей;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реконструкция и замена аварийных участков трубопроводов системы водоснабжения, замена запорной и регулирующей арматуры;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прокладка новых трубопроводов системы водоснабжения, для обеспечения потребностей абонентов перспективной жилой застройки.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>Обеспечение водоснабжения объектов перспективной застройки населенного пункта.</w:t>
      </w:r>
    </w:p>
    <w:p>
      <w:pPr>
        <w:pStyle w:val="Normal"/>
        <w:spacing w:before="0" w:after="60"/>
        <w:rPr>
          <w:szCs w:val="24"/>
        </w:rPr>
      </w:pPr>
      <w:r>
        <w:rPr>
          <w:szCs w:val="24"/>
        </w:rPr>
        <w:t xml:space="preserve">На территории, на которых отсутствует централизованное водоснабжение, предлагается дальнейшее развитие систем централизованного водоснабжения на территории данных населенных пунктов и предусматривается: 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проектирование и строительство магистральных и внутриквартальных сетей для территорий нового строительства; 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подключение построенных сетей водоснабжения к существующим и проектируемым водопроводным сетям; </w:t>
      </w:r>
    </w:p>
    <w:p>
      <w:pPr>
        <w:pStyle w:val="ListParagraph"/>
        <w:numPr>
          <w:ilvl w:val="0"/>
          <w:numId w:val="15"/>
        </w:numPr>
        <w:spacing w:lineRule="auto" w:line="276" w:before="0" w:after="12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</w:t>
      </w:r>
      <w:r>
        <w:rPr/>
        <w:t>.</w:t>
      </w:r>
    </w:p>
    <w:p>
      <w:pPr>
        <w:pStyle w:val="ListParagraph"/>
        <w:spacing w:lineRule="auto" w:line="276" w:before="0" w:after="120"/>
        <w:ind w:left="0" w:firstLine="567"/>
        <w:contextualSpacing/>
        <w:rPr>
          <w:sz w:val="24"/>
        </w:rPr>
      </w:pPr>
      <w:bookmarkStart w:id="75" w:name="_Toc375685063"/>
      <w:bookmarkStart w:id="76" w:name="_Toc375684035"/>
      <w:bookmarkEnd w:id="75"/>
      <w:bookmarkEnd w:id="76"/>
      <w:r>
        <w:rPr>
          <w:sz w:val="24"/>
        </w:rPr>
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обследование состояния источников питьевого водоснабжения и анализ зон санитарной охраны, соблюдение границ и режимов трех поясов ЗСО источников водоснабжения,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поясов; 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проведение производственного контроля за качеством воды в местах водозабора, перед подачей в распределительную сеть водопровода и в пунктах водоразбора наружной и внутренней сети водопровода.</w:t>
      </w:r>
    </w:p>
    <w:p>
      <w:pPr>
        <w:pStyle w:val="2"/>
        <w:numPr>
          <w:ilvl w:val="2"/>
          <w:numId w:val="70"/>
        </w:numPr>
        <w:spacing w:lineRule="auto" w:line="240"/>
        <w:rPr>
          <w:szCs w:val="24"/>
        </w:rPr>
      </w:pPr>
      <w:bookmarkStart w:id="77" w:name="_Toc107492625"/>
      <w:r>
        <w:rPr/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77"/>
    </w:p>
    <w:p>
      <w:pPr>
        <w:pStyle w:val="Normal"/>
        <w:spacing w:before="0" w:after="60"/>
        <w:rPr>
          <w:szCs w:val="24"/>
          <w:u w:val="single"/>
        </w:rPr>
      </w:pPr>
      <w:r>
        <w:rPr>
          <w:u w:val="single"/>
        </w:rPr>
        <w:t>На расчетный срок</w:t>
      </w:r>
      <w:r>
        <w:rPr>
          <w:szCs w:val="24"/>
          <w:u w:val="single"/>
        </w:rPr>
        <w:t xml:space="preserve">: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замена ветхих участков водопроводных сетей; </w:t>
      </w:r>
    </w:p>
    <w:p>
      <w:pPr>
        <w:pStyle w:val="Normal"/>
        <w:spacing w:before="0" w:after="120"/>
        <w:rPr/>
      </w:pPr>
      <w:r>
        <w:rPr/>
        <w:t xml:space="preserve">Также предусматривается: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прокладка новых трубопроводов системы водоснабжения, для обеспечения потребностей абонентов перспективной жилой застройки;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реконструкция существующих водозаборных сооружений, поэтапная замена насосного и вспомогательного оборудования. Обеспечение производительности водопроводных сооружений до необходимых потребностей; 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проведение комплекса мероприятий по уменьшению водопотребления, установка на насосах частотно-регулируемых приводов, внедрение измерительных приборов, приборов контроля на водопроводных сетях и приборов учета воды в домах;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сооружений;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оборудование всех действующих водозаборных сооружений приборами учета.</w:t>
      </w:r>
    </w:p>
    <w:p>
      <w:pPr>
        <w:pStyle w:val="2"/>
        <w:numPr>
          <w:ilvl w:val="2"/>
          <w:numId w:val="71"/>
        </w:numPr>
        <w:spacing w:lineRule="auto" w:line="240"/>
        <w:rPr>
          <w:szCs w:val="24"/>
        </w:rPr>
      </w:pPr>
      <w:bookmarkStart w:id="78" w:name="_Toc107492626"/>
      <w:bookmarkStart w:id="79" w:name="_Toc375685067"/>
      <w:bookmarkStart w:id="80" w:name="_Toc375684039"/>
      <w:bookmarkEnd w:id="79"/>
      <w:bookmarkEnd w:id="80"/>
      <w:r>
        <w:rPr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78"/>
    </w:p>
    <w:p>
      <w:pPr>
        <w:pStyle w:val="Normal"/>
        <w:rPr/>
      </w:pPr>
      <w:r>
        <w:rPr/>
        <w:t>При проведении мероприятий по уменьшению водопотребления, рекомендуется предусмотреть установку на насосах частотно-регулируемых приводов, внедрение измерительных приборов, 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сооружений.</w:t>
      </w:r>
    </w:p>
    <w:p>
      <w:pPr>
        <w:pStyle w:val="2"/>
        <w:numPr>
          <w:ilvl w:val="2"/>
          <w:numId w:val="72"/>
        </w:numPr>
        <w:spacing w:lineRule="auto" w:line="240"/>
        <w:rPr>
          <w:szCs w:val="24"/>
        </w:rPr>
      </w:pPr>
      <w:bookmarkStart w:id="81" w:name="_Toc107492627"/>
      <w:r>
        <w:rPr/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81"/>
    </w:p>
    <w:p>
      <w:pPr>
        <w:pStyle w:val="Normal"/>
        <w:spacing w:before="0" w:after="0"/>
        <w:rPr/>
      </w:pPr>
      <w:r>
        <w:rPr/>
        <w:t>Все бюджетные организации и большая часть населения оснащены приборами учета холодной воды. Подробная информация по приборам учёта холодной воды отсутствует.</w:t>
      </w:r>
    </w:p>
    <w:p>
      <w:pPr>
        <w:pStyle w:val="Consplusnormal1"/>
        <w:shd w:val="clear" w:color="auto" w:fill="FFFFFF"/>
        <w:spacing w:lineRule="atLeast" w:line="301" w:beforeAutospacing="0" w:before="0" w:afterAutospacing="0" w:after="240"/>
        <w:ind w:firstLine="567"/>
        <w:jc w:val="both"/>
        <w:textAlignment w:val="baseline"/>
        <w:rPr>
          <w:color w:val="333333"/>
        </w:rPr>
      </w:pPr>
      <w:r>
        <w:rPr/>
        <w:t xml:space="preserve">В соответствии с Федеральным законом Российской Федерации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в Приморского края разработана долгосрочная целевая программа «Энергосбережение и повышение энергетической эффективности на территории Приморского края». Программой предусмотрены организационные мероприятия, обеспечивающиесоздание условий для повышения энергетической эффективности экономики области, в числе которых оснащение жилых домов в жилищном фонде области приборами </w:t>
      </w:r>
      <w:r>
        <w:rPr>
          <w:rStyle w:val="F"/>
          <w:rFonts w:eastAsia="Arial Unicode MS"/>
        </w:rPr>
        <w:t>учета</w:t>
      </w:r>
      <w:r>
        <w:rPr/>
        <w:t xml:space="preserve"> воды, в том числе многоквартирных домов коллективными общедомовыми приборами </w:t>
      </w:r>
      <w:r>
        <w:rPr>
          <w:rStyle w:val="F"/>
          <w:rFonts w:eastAsia="Arial Unicode MS"/>
        </w:rPr>
        <w:t>учета</w:t>
      </w:r>
      <w:r>
        <w:rPr/>
        <w:t xml:space="preserve"> воды.</w:t>
      </w:r>
    </w:p>
    <w:p>
      <w:pPr>
        <w:pStyle w:val="Normal"/>
        <w:rPr/>
      </w:pPr>
      <w:r>
        <w:rPr/>
        <w:t>На ближайшую перспективу необходимо оборудование приборами учета всех абонентов централизованной системы водоснабжения.</w:t>
      </w:r>
    </w:p>
    <w:p>
      <w:pPr>
        <w:pStyle w:val="2"/>
        <w:numPr>
          <w:ilvl w:val="2"/>
          <w:numId w:val="73"/>
        </w:numPr>
        <w:spacing w:lineRule="auto" w:line="240"/>
        <w:rPr>
          <w:szCs w:val="24"/>
        </w:rPr>
      </w:pPr>
      <w:bookmarkStart w:id="82" w:name="_Toc107492628"/>
      <w:r>
        <w:rPr/>
        <w:t>Описание вариантовмаршрутов прохождения трубопроводов (трасс) по территории муниципального округа и их обоснование</w:t>
      </w:r>
      <w:bookmarkEnd w:id="82"/>
    </w:p>
    <w:p>
      <w:pPr>
        <w:pStyle w:val="Normal"/>
        <w:rPr/>
      </w:pPr>
      <w:r>
        <w:rPr/>
        <w:t>Схема сетей водоснабжения Чугуевского муниципального округа в электронном варианте в виде карты прилагается. Месторасположение водопроводных сетей систем водоснабжения на карте нанесены условно, при рабочем проектировании возможно изменение местоположения исходя из расположения проектируемых предприятий и местных условий. Сети водоснабжения для обеспечения водоснабжения на территориях, где оно отсутствует, будут прокладываться согласно согласованным проектам.</w:t>
      </w:r>
    </w:p>
    <w:p>
      <w:pPr>
        <w:pStyle w:val="2"/>
        <w:numPr>
          <w:ilvl w:val="2"/>
          <w:numId w:val="74"/>
        </w:numPr>
        <w:spacing w:lineRule="auto" w:line="240"/>
        <w:rPr>
          <w:szCs w:val="24"/>
        </w:rPr>
      </w:pPr>
      <w:bookmarkStart w:id="83" w:name="_Toc107492629"/>
      <w:r>
        <w:rPr/>
        <w:t>Рекомендации о месте размещения насосных станций, резервуаров, водонапорных башен</w:t>
      </w:r>
      <w:bookmarkEnd w:id="83"/>
    </w:p>
    <w:p>
      <w:pPr>
        <w:pStyle w:val="Normal"/>
        <w:rPr/>
      </w:pPr>
      <w:r>
        <w:rPr/>
        <w:t>Схема водоснабжения Чугуевского муниципального округа в электронном варианте в виде карты прилагается.  Месторасположение объектов систем водоснабжения на карте нанесены условно, при рабочем проектировании возможно изменение местоположения исходя из расположения проектируемых предприятий и местных условий.</w:t>
      </w:r>
    </w:p>
    <w:p>
      <w:pPr>
        <w:pStyle w:val="2"/>
        <w:numPr>
          <w:ilvl w:val="2"/>
          <w:numId w:val="75"/>
        </w:numPr>
        <w:spacing w:lineRule="auto" w:line="240"/>
        <w:rPr>
          <w:szCs w:val="24"/>
        </w:rPr>
      </w:pPr>
      <w:bookmarkStart w:id="84" w:name="_Toc375684044"/>
      <w:bookmarkStart w:id="85" w:name="_Toc375685072"/>
      <w:bookmarkStart w:id="86" w:name="_Toc375684045"/>
      <w:bookmarkStart w:id="87" w:name="_Toc375684046"/>
      <w:bookmarkStart w:id="88" w:name="_Toc375685074"/>
      <w:bookmarkStart w:id="89" w:name="_Toc107492630"/>
      <w:bookmarkStart w:id="90" w:name="_Toc375685073"/>
      <w:bookmarkEnd w:id="84"/>
      <w:bookmarkEnd w:id="85"/>
      <w:bookmarkEnd w:id="86"/>
      <w:bookmarkEnd w:id="87"/>
      <w:bookmarkEnd w:id="88"/>
      <w:bookmarkEnd w:id="90"/>
      <w:r>
        <w:rPr/>
        <w:t>Границы планируемых зон размещения объектов централизованных систем горячего водоснабжения, холодного водоснабжения</w:t>
      </w:r>
      <w:bookmarkEnd w:id="89"/>
    </w:p>
    <w:p>
      <w:pPr>
        <w:pStyle w:val="Normal"/>
        <w:rPr>
          <w:highlight w:val="yellow"/>
        </w:rPr>
      </w:pPr>
      <w:r>
        <w:rPr/>
        <w:t>Схема водоснабжения Чугуевского муниципального округа в электронном варианте в виде карты прилагается.  Месторасположение объектов систем водоснабжения на карте нанесены условно, при рабочем проектировании возможно изменение местоположения исходя из расположения проектируемых предприятий и местных условий. Сети водоснабжения для обеспечения водоснабжения на территориях, где оно отсутствует, будут прокладываться согласно согласованным проектам.</w:t>
      </w:r>
    </w:p>
    <w:p>
      <w:pPr>
        <w:pStyle w:val="2"/>
        <w:numPr>
          <w:ilvl w:val="2"/>
          <w:numId w:val="76"/>
        </w:numPr>
        <w:spacing w:lineRule="auto" w:line="240"/>
        <w:rPr>
          <w:szCs w:val="24"/>
        </w:rPr>
      </w:pPr>
      <w:bookmarkStart w:id="91" w:name="_Toc107492631"/>
      <w:r>
        <w:rPr/>
        <w:t>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91"/>
    </w:p>
    <w:p>
      <w:pPr>
        <w:pStyle w:val="Normal"/>
        <w:rPr/>
      </w:pPr>
      <w:r>
        <w:rPr/>
        <w:t>Схема расположения объектов системы водоснабжения Чугуевского муниципального округа в электронном варианте в виде карты прилагается.  Месторасположение объектов систем водоснабжения на карте нанесены условно, при рабочем проектировании возможно изменение местоположения исходя из расположения проектируемых предприятий и местных условий. Сети водоснабжения для обеспечения водоснабжения на территориях, где оно отсутствует, будут прокладываться согласно согласованным проектам.</w:t>
      </w:r>
    </w:p>
    <w:p>
      <w:pPr>
        <w:pStyle w:val="Normal"/>
        <w:spacing w:lineRule="auto" w:line="240" w:before="0" w:after="0"/>
        <w:ind w:hanging="0"/>
        <w:jc w:val="left"/>
        <w:rPr>
          <w:rStyle w:val="FontStyle157"/>
          <w:rFonts w:eastAsia="" w:eastAsiaTheme="majorEastAsia"/>
          <w:bCs/>
          <w:sz w:val="24"/>
          <w:szCs w:val="26"/>
          <w:lang w:eastAsia="en-US"/>
        </w:rPr>
      </w:pPr>
      <w:r>
        <w:rPr>
          <w:rFonts w:eastAsia="" w:eastAsiaTheme="majorEastAsia"/>
          <w:bCs/>
          <w:sz w:val="24"/>
          <w:szCs w:val="26"/>
          <w:lang w:eastAsia="en-US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92" w:name="_Toc107492632"/>
      <w:r>
        <w:rPr>
          <w:rStyle w:val="FontStyle157"/>
          <w:rFonts w:eastAsia="" w:eastAsiaTheme="majorEastAsia"/>
          <w:b/>
          <w:sz w:val="24"/>
          <w:lang w:eastAsia="en-US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92"/>
    </w:p>
    <w:p>
      <w:pPr>
        <w:pStyle w:val="Normal"/>
        <w:rPr/>
      </w:pPr>
      <w:bookmarkStart w:id="93" w:name="_Toc360700200"/>
      <w:bookmarkStart w:id="94" w:name="_Toc360699814"/>
      <w:bookmarkStart w:id="95" w:name="_Toc360699428"/>
      <w:r>
        <w:rPr/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в три пояса (СанПиН 2.1.4.1110-02).</w:t>
      </w:r>
    </w:p>
    <w:p>
      <w:pPr>
        <w:pStyle w:val="Normal"/>
        <w:rPr/>
      </w:pPr>
      <w:r>
        <w:rPr/>
        <w:t>Вокруг скважин должны быть оборудованы зоны санитарной охраны из трех поясов.</w:t>
      </w:r>
    </w:p>
    <w:p>
      <w:pPr>
        <w:pStyle w:val="Normal"/>
        <w:rPr/>
      </w:pPr>
      <w:r>
        <w:rPr/>
        <w:t>Первый пояс ЗСО (зона строгого режима) включает площадку вокруг скважины радиусом 30-50 м, ограждаемую забором высотой 1,2 м.</w:t>
      </w:r>
    </w:p>
    <w:p>
      <w:pPr>
        <w:pStyle w:val="Normal"/>
        <w:rPr/>
      </w:pPr>
      <w:r>
        <w:rPr/>
        <w:t>Территория должна быть спланирована и озеленена.</w:t>
      </w:r>
    </w:p>
    <w:p>
      <w:pPr>
        <w:pStyle w:val="Normal"/>
        <w:rPr/>
      </w:pPr>
      <w:r>
        <w:rPr/>
        <w:t>В первом поясе ЗСО подземного источника питьевого водоснабжения запрещаются:</w:t>
      </w:r>
    </w:p>
    <w:p>
      <w:pPr>
        <w:pStyle w:val="Normal"/>
        <w:numPr>
          <w:ilvl w:val="0"/>
          <w:numId w:val="26"/>
        </w:numPr>
        <w:spacing w:before="0" w:after="0"/>
        <w:ind w:left="992" w:hanging="357"/>
        <w:rPr/>
      </w:pPr>
      <w:r>
        <w:rPr/>
        <w:t>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>
      <w:pPr>
        <w:pStyle w:val="Normal"/>
        <w:numPr>
          <w:ilvl w:val="0"/>
          <w:numId w:val="26"/>
        </w:numPr>
        <w:spacing w:before="0" w:after="0"/>
        <w:ind w:left="992" w:hanging="357"/>
        <w:rPr/>
      </w:pPr>
      <w:r>
        <w:rPr/>
        <w:t>размещение жилых и хозяйственно-бытовых зданий и проживание людей;</w:t>
      </w:r>
    </w:p>
    <w:p>
      <w:pPr>
        <w:pStyle w:val="Normal"/>
        <w:numPr>
          <w:ilvl w:val="0"/>
          <w:numId w:val="26"/>
        </w:numPr>
        <w:spacing w:before="0" w:after="0"/>
        <w:ind w:left="992" w:hanging="357"/>
        <w:rPr/>
      </w:pPr>
      <w:r>
        <w:rPr/>
        <w:t>спуск любых сточных вод, стирка белья, водопой и выпас скота;</w:t>
      </w:r>
    </w:p>
    <w:p>
      <w:pPr>
        <w:pStyle w:val="Normal"/>
        <w:numPr>
          <w:ilvl w:val="0"/>
          <w:numId w:val="26"/>
        </w:numPr>
        <w:spacing w:before="0" w:after="0"/>
        <w:ind w:left="992" w:hanging="357"/>
        <w:rPr/>
      </w:pPr>
      <w:r>
        <w:rPr/>
        <w:t>применение ядохимикатов и удобрений;</w:t>
      </w:r>
    </w:p>
    <w:p>
      <w:pPr>
        <w:pStyle w:val="Normal"/>
        <w:numPr>
          <w:ilvl w:val="0"/>
          <w:numId w:val="26"/>
        </w:numPr>
        <w:spacing w:before="0" w:after="120"/>
        <w:ind w:left="993" w:hanging="360"/>
        <w:rPr/>
      </w:pPr>
      <w:r>
        <w:rPr/>
        <w:t>посадка высокоствольных деревьев.</w:t>
      </w:r>
    </w:p>
    <w:p>
      <w:pPr>
        <w:pStyle w:val="Normal"/>
        <w:rPr/>
      </w:pPr>
      <w:r>
        <w:rPr/>
        <w:t>В пределах второго и третьего пояса ЗСО подземного источника питьевого водоснабжения следует:</w:t>
      </w:r>
    </w:p>
    <w:p>
      <w:pPr>
        <w:pStyle w:val="Normal"/>
        <w:numPr>
          <w:ilvl w:val="0"/>
          <w:numId w:val="27"/>
        </w:numPr>
        <w:spacing w:before="0" w:after="0"/>
        <w:ind w:left="992" w:hanging="357"/>
        <w:rPr/>
      </w:pPr>
      <w:r>
        <w:rPr/>
        <w:t>выявлять старые, бездействующие, дефектные или неправильно эксплуатируемые скважины, которые могут привести к загрязнению водоносных горизонтов, и производить их тампонаж или восстановление;</w:t>
      </w:r>
    </w:p>
    <w:p>
      <w:pPr>
        <w:pStyle w:val="Normal"/>
        <w:numPr>
          <w:ilvl w:val="0"/>
          <w:numId w:val="27"/>
        </w:numPr>
        <w:spacing w:before="0" w:after="0"/>
        <w:ind w:left="992" w:hanging="357"/>
        <w:rPr/>
      </w:pPr>
      <w:r>
        <w:rPr/>
        <w:t>производить бурение новых скважин и новое строительство, связанное с нарушением почвенного покрова,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среды;</w:t>
      </w:r>
    </w:p>
    <w:p>
      <w:pPr>
        <w:pStyle w:val="Normal"/>
        <w:numPr>
          <w:ilvl w:val="0"/>
          <w:numId w:val="27"/>
        </w:numPr>
        <w:spacing w:before="0" w:after="0"/>
        <w:ind w:left="992" w:hanging="357"/>
        <w:rPr/>
      </w:pPr>
      <w:r>
        <w:rPr/>
        <w:t>выполнять мероприятия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 – только для второго пояса;</w:t>
      </w:r>
    </w:p>
    <w:p>
      <w:pPr>
        <w:pStyle w:val="Normal"/>
        <w:numPr>
          <w:ilvl w:val="0"/>
          <w:numId w:val="27"/>
        </w:numPr>
        <w:spacing w:before="0" w:after="120"/>
        <w:ind w:left="993" w:hanging="360"/>
        <w:rPr/>
      </w:pPr>
      <w:r>
        <w:rPr/>
        <w:t>своевременно выполнять необходимые мероприятия по санитарной охране поверхностных вод, имеющих непосредственную гидрологическую связь с используемым водоносным горизонтом, в соответствии с санитарными нормами и правилами.</w:t>
      </w:r>
    </w:p>
    <w:p>
      <w:pPr>
        <w:pStyle w:val="Normal"/>
        <w:rPr/>
      </w:pPr>
      <w:r>
        <w:rPr/>
        <w:t xml:space="preserve"> </w:t>
      </w:r>
      <w:r>
        <w:rPr/>
        <w:t>Во втором поясе ЗСО подземного источника питьевого водоснабжения запрещаются:</w:t>
      </w:r>
    </w:p>
    <w:p>
      <w:pPr>
        <w:pStyle w:val="Normal"/>
        <w:numPr>
          <w:ilvl w:val="0"/>
          <w:numId w:val="28"/>
        </w:numPr>
        <w:spacing w:before="0" w:after="0"/>
        <w:ind w:left="992" w:hanging="357"/>
        <w:rPr/>
      </w:pPr>
      <w:r>
        <w:rPr/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</w:r>
    </w:p>
    <w:p>
      <w:pPr>
        <w:pStyle w:val="Normal"/>
        <w:numPr>
          <w:ilvl w:val="0"/>
          <w:numId w:val="28"/>
        </w:numPr>
        <w:spacing w:before="0" w:after="0"/>
        <w:ind w:left="992" w:hanging="357"/>
        <w:rPr/>
      </w:pPr>
      <w:r>
        <w:rPr/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микробное загрязнение подземных вод;</w:t>
      </w:r>
    </w:p>
    <w:p>
      <w:pPr>
        <w:pStyle w:val="Normal"/>
        <w:numPr>
          <w:ilvl w:val="0"/>
          <w:numId w:val="28"/>
        </w:numPr>
        <w:spacing w:before="0" w:after="0"/>
        <w:ind w:left="992" w:hanging="357"/>
        <w:rPr/>
      </w:pPr>
      <w:r>
        <w:rPr/>
        <w:t>применение ядохимикатов и удобрений;</w:t>
      </w:r>
    </w:p>
    <w:p>
      <w:pPr>
        <w:pStyle w:val="Normal"/>
        <w:numPr>
          <w:ilvl w:val="0"/>
          <w:numId w:val="28"/>
        </w:numPr>
        <w:spacing w:before="0" w:after="0"/>
        <w:ind w:left="992" w:hanging="357"/>
        <w:rPr/>
      </w:pPr>
      <w:r>
        <w:rPr/>
        <w:t>закачка отработанных вод в подземные горизонты, подземное складирование твердых отходов производства и потребления, а также разработка недр;</w:t>
      </w:r>
    </w:p>
    <w:p>
      <w:pPr>
        <w:pStyle w:val="Normal"/>
        <w:numPr>
          <w:ilvl w:val="0"/>
          <w:numId w:val="28"/>
        </w:numPr>
        <w:spacing w:before="0" w:after="120"/>
        <w:ind w:left="993" w:hanging="360"/>
        <w:rPr/>
      </w:pPr>
      <w:r>
        <w:rPr/>
        <w:t>рубка леса.</w:t>
      </w:r>
    </w:p>
    <w:p>
      <w:pPr>
        <w:pStyle w:val="Normal"/>
        <w:rPr/>
      </w:pPr>
      <w:r>
        <w:rPr/>
        <w:t>В третьем поясе зоны санитарной охраны подземного источника питьевого водоснабжения запрещаются:</w:t>
      </w:r>
    </w:p>
    <w:p>
      <w:pPr>
        <w:pStyle w:val="Normal"/>
        <w:numPr>
          <w:ilvl w:val="0"/>
          <w:numId w:val="29"/>
        </w:numPr>
        <w:spacing w:before="0" w:after="0"/>
        <w:ind w:left="992" w:hanging="357"/>
        <w:rPr/>
      </w:pPr>
      <w:r>
        <w:rPr/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</w:r>
    </w:p>
    <w:p>
      <w:pPr>
        <w:pStyle w:val="Normal"/>
        <w:numPr>
          <w:ilvl w:val="0"/>
          <w:numId w:val="29"/>
        </w:numPr>
        <w:spacing w:before="0" w:after="120"/>
        <w:ind w:left="993" w:hanging="360"/>
        <w:rPr/>
      </w:pPr>
      <w:r>
        <w:rPr/>
        <w:t>закачка отработанных вод в подземные горизонты, подземное складирование твердых отходов производства и потребления, а также разработка недр.</w:t>
      </w:r>
    </w:p>
    <w:p>
      <w:pPr>
        <w:pStyle w:val="Normal"/>
        <w:rPr/>
      </w:pPr>
      <w:r>
        <w:rPr/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вод, допускается в пределах третьего пояса зоны санитарной охраны подземного источника питьевого водоснабжения только при использовании 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среды.</w:t>
      </w:r>
    </w:p>
    <w:p>
      <w:pPr>
        <w:pStyle w:val="Normal"/>
        <w:rPr/>
      </w:pPr>
      <w:r>
        <w:rPr/>
        <w:t>Применительно к конкретным гидрогеологическим условиям состав указанных выше санитарно-оздоровительных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районе.</w:t>
      </w:r>
    </w:p>
    <w:p>
      <w:pPr>
        <w:pStyle w:val="Normal"/>
        <w:rPr/>
      </w:pPr>
      <w:r>
        <w:rPr/>
        <w:t>Мероприятия по охране подземных вод предусматриваются по двум основным направлениям, недопущению истощению ресурсов подземных вод, и защита их от загрязнения:</w:t>
      </w:r>
    </w:p>
    <w:p>
      <w:pPr>
        <w:pStyle w:val="Normal"/>
        <w:numPr>
          <w:ilvl w:val="0"/>
          <w:numId w:val="30"/>
        </w:numPr>
        <w:spacing w:before="0" w:after="0"/>
        <w:ind w:left="992" w:hanging="357"/>
        <w:rPr/>
      </w:pPr>
      <w:r>
        <w:rPr/>
        <w:t>сокращение использования пресных подземных вод для технических целей и полива зеленых насаждений;</w:t>
      </w:r>
    </w:p>
    <w:p>
      <w:pPr>
        <w:pStyle w:val="Normal"/>
        <w:numPr>
          <w:ilvl w:val="0"/>
          <w:numId w:val="30"/>
        </w:numPr>
        <w:spacing w:before="0" w:after="0"/>
        <w:ind w:left="992" w:hanging="357"/>
        <w:rPr/>
      </w:pPr>
      <w:r>
        <w:rPr/>
        <w:t>проведение ежегодного профилактического ремонта скважин;</w:t>
      </w:r>
    </w:p>
    <w:p>
      <w:pPr>
        <w:pStyle w:val="Normal"/>
        <w:numPr>
          <w:ilvl w:val="0"/>
          <w:numId w:val="30"/>
        </w:numPr>
        <w:spacing w:before="0" w:after="0"/>
        <w:ind w:left="992" w:hanging="357"/>
        <w:rPr/>
      </w:pPr>
      <w:r>
        <w:rPr/>
        <w:t xml:space="preserve">вынос из зон </w:t>
      </w:r>
      <w:r>
        <w:rPr>
          <w:lang w:val="en-US"/>
        </w:rPr>
        <w:t>I</w:t>
      </w:r>
      <w:r>
        <w:rPr/>
        <w:t xml:space="preserve"> пояса всех потенциальных источников загрязнения подземных вод;</w:t>
      </w:r>
    </w:p>
    <w:p>
      <w:pPr>
        <w:pStyle w:val="Normal"/>
        <w:numPr>
          <w:ilvl w:val="0"/>
          <w:numId w:val="30"/>
        </w:numPr>
        <w:spacing w:before="0" w:after="0"/>
        <w:ind w:left="992" w:hanging="357"/>
        <w:rPr/>
      </w:pPr>
      <w:r>
        <w:rPr/>
        <w:t xml:space="preserve">в пределах </w:t>
      </w:r>
      <w:r>
        <w:rPr>
          <w:lang w:val="en-US"/>
        </w:rPr>
        <w:t>I</w:t>
      </w:r>
      <w:r>
        <w:rPr/>
        <w:t xml:space="preserve"> – </w:t>
      </w:r>
      <w:r>
        <w:rPr>
          <w:lang w:val="en-US"/>
        </w:rPr>
        <w:t>III</w:t>
      </w:r>
      <w:r>
        <w:rPr/>
        <w:t xml:space="preserve"> ЗСО скважин разработать комплекс водоохранных мероприятий в соответствии с СанПиНом 2.1.4.1110-02 и согласовать его с районным ЦГСЭН;</w:t>
      </w:r>
    </w:p>
    <w:p>
      <w:pPr>
        <w:pStyle w:val="Normal"/>
        <w:numPr>
          <w:ilvl w:val="0"/>
          <w:numId w:val="30"/>
        </w:numPr>
        <w:spacing w:before="0" w:after="0"/>
        <w:ind w:left="992" w:hanging="357"/>
        <w:rPr/>
      </w:pPr>
      <w:r>
        <w:rPr/>
        <w:t>в процессе эксплуатации скважин для определения стабильности качества воды и уровненного режима приступить к ведению мониторинга подземных вод) стационарные режиме наблюдения за дебитом, уровнем, температурой и химическим составом воды);</w:t>
      </w:r>
    </w:p>
    <w:p>
      <w:pPr>
        <w:pStyle w:val="Normal"/>
        <w:numPr>
          <w:ilvl w:val="0"/>
          <w:numId w:val="30"/>
        </w:numPr>
        <w:spacing w:before="0" w:after="0"/>
        <w:ind w:left="992" w:hanging="357"/>
        <w:rPr>
          <w:szCs w:val="26"/>
        </w:rPr>
      </w:pPr>
      <w:r>
        <w:rPr/>
        <w:t>контроль качества производить в соответствии с СанПиНом 1.2.3684-21 с обязательным определением содержания железа и органолептических показателей.</w:t>
      </w:r>
    </w:p>
    <w:p>
      <w:pPr>
        <w:pStyle w:val="2"/>
        <w:numPr>
          <w:ilvl w:val="2"/>
          <w:numId w:val="77"/>
        </w:numPr>
        <w:spacing w:lineRule="auto" w:line="240"/>
        <w:rPr>
          <w:rStyle w:val="FontStyle157"/>
          <w:rFonts w:eastAsia="" w:eastAsiaTheme="majorEastAsia"/>
          <w:b/>
          <w:b/>
          <w:sz w:val="24"/>
          <w:lang w:eastAsia="en-US"/>
        </w:rPr>
      </w:pPr>
      <w:bookmarkStart w:id="96" w:name="_Toc360700200"/>
      <w:bookmarkStart w:id="97" w:name="_Toc360699814"/>
      <w:bookmarkStart w:id="98" w:name="_Toc360699428"/>
      <w:bookmarkStart w:id="99" w:name="_Toc107492633"/>
      <w:r>
        <w:rPr/>
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96"/>
      <w:bookmarkEnd w:id="97"/>
      <w:bookmarkEnd w:id="98"/>
      <w:bookmarkEnd w:id="99"/>
    </w:p>
    <w:p>
      <w:pPr>
        <w:pStyle w:val="Normal"/>
        <w:rPr>
          <w:szCs w:val="26"/>
        </w:rPr>
      </w:pPr>
      <w:r>
        <w:rPr>
          <w:szCs w:val="26"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</w:p>
    <w:p>
      <w:pPr>
        <w:pStyle w:val="Normal"/>
        <w:rPr>
          <w:szCs w:val="26"/>
        </w:rPr>
      </w:pPr>
      <w:r>
        <w:rPr>
          <w:szCs w:val="26"/>
        </w:rPr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</w:p>
    <w:p>
      <w:pPr>
        <w:pStyle w:val="Normal"/>
        <w:rPr/>
      </w:pPr>
      <w:r>
        <w:rPr>
          <w:szCs w:val="26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</w:p>
    <w:p>
      <w:pPr>
        <w:pStyle w:val="2"/>
        <w:numPr>
          <w:ilvl w:val="2"/>
          <w:numId w:val="78"/>
        </w:numPr>
        <w:spacing w:lineRule="auto" w:line="240"/>
        <w:rPr>
          <w:rStyle w:val="FontStyle157"/>
          <w:rFonts w:eastAsia="" w:eastAsiaTheme="majorEastAsia"/>
          <w:b/>
          <w:b/>
          <w:sz w:val="24"/>
          <w:lang w:eastAsia="en-US"/>
        </w:rPr>
      </w:pPr>
      <w:bookmarkStart w:id="100" w:name="_Toc107492634"/>
      <w:r>
        <w:rPr/>
        <w:t>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100"/>
    </w:p>
    <w:p>
      <w:pPr>
        <w:pStyle w:val="Normal"/>
        <w:spacing w:before="0" w:after="0"/>
        <w:rPr/>
      </w:pPr>
      <w:r>
        <w:rPr/>
        <w:t>В Чугуевском муниципальном округе на скважинах отсутствуют водоочистные сооружения. Отсутствуют химические реагенты, используемые в водоподготовке (хлор и др.).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Style w:val="FontStyle157"/>
          <w:rFonts w:eastAsia="" w:eastAsiaTheme="majorEastAsia"/>
          <w:bCs/>
          <w:sz w:val="24"/>
          <w:szCs w:val="26"/>
          <w:lang w:eastAsia="en-US"/>
        </w:rPr>
      </w:pPr>
      <w:r>
        <w:rPr>
          <w:rFonts w:eastAsia="" w:eastAsiaTheme="majorEastAsia"/>
          <w:bCs/>
          <w:sz w:val="24"/>
          <w:szCs w:val="26"/>
          <w:lang w:eastAsia="en-US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101" w:name="_Toc107492635"/>
      <w:r>
        <w:rPr/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101"/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134" w:right="567" w:gutter="0" w:header="426" w:top="567" w:footer="0" w:bottom="28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before="240" w:after="200"/>
        <w:ind w:firstLine="709"/>
        <w:rPr>
          <w:szCs w:val="24"/>
        </w:rPr>
      </w:pPr>
      <w:r>
        <w:rPr/>
        <w:t>Мероприятия развития и модернизации системы водоснабжения Чугуевского муниципального округа представлены в таблице 1.8.1</w:t>
      </w:r>
      <w:r>
        <w:rPr>
          <w:szCs w:val="24"/>
        </w:rPr>
        <w:t>.</w:t>
      </w:r>
    </w:p>
    <w:p>
      <w:pPr>
        <w:pStyle w:val="Normal"/>
        <w:spacing w:before="240" w:after="200"/>
        <w:ind w:firstLine="709"/>
        <w:jc w:val="right"/>
        <w:rPr>
          <w:szCs w:val="24"/>
        </w:rPr>
      </w:pPr>
      <w:r>
        <w:rPr/>
        <w:t>Таблица 1.8.1</w:t>
      </w:r>
    </w:p>
    <w:tbl>
      <w:tblPr>
        <w:tblW w:w="4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3"/>
        <w:gridCol w:w="2009"/>
        <w:gridCol w:w="1451"/>
        <w:gridCol w:w="1179"/>
        <w:gridCol w:w="622"/>
        <w:gridCol w:w="622"/>
        <w:gridCol w:w="621"/>
        <w:gridCol w:w="621"/>
        <w:gridCol w:w="621"/>
        <w:gridCol w:w="660"/>
        <w:gridCol w:w="689"/>
        <w:gridCol w:w="692"/>
        <w:gridCol w:w="693"/>
        <w:gridCol w:w="690"/>
        <w:gridCol w:w="968"/>
      </w:tblGrid>
      <w:tr>
        <w:trPr>
          <w:tblHeader w:val="true"/>
          <w:trHeight w:val="122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Технические мероприятия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3" w:right="-126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(объем, протяженность и пр.)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кап, вложений, тыс. руб.</w:t>
            </w:r>
          </w:p>
        </w:tc>
        <w:tc>
          <w:tcPr>
            <w:tcW w:w="74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Капитальные вложения*, тыс. руб.</w:t>
            </w:r>
          </w:p>
        </w:tc>
      </w:tr>
      <w:tr>
        <w:trPr>
          <w:tblHeader w:val="true"/>
          <w:trHeight w:val="757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>
        <w:trPr>
          <w:trHeight w:val="255" w:hRule="atLeast"/>
        </w:trPr>
        <w:tc>
          <w:tcPr>
            <w:tcW w:w="127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Проектные работы</w:t>
            </w:r>
          </w:p>
        </w:tc>
      </w:tr>
      <w:tr>
        <w:trPr>
          <w:trHeight w:val="986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1" w:hRule="exact"/>
        </w:trPr>
        <w:tc>
          <w:tcPr>
            <w:tcW w:w="127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Строительство, реконструкция и модернизация оборудования</w:t>
            </w:r>
          </w:p>
        </w:tc>
      </w:tr>
      <w:tr>
        <w:trPr>
          <w:trHeight w:val="1014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27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Строительство, реконструкция и модернизация сетей водоснабжения</w:t>
            </w:r>
          </w:p>
        </w:tc>
      </w:tr>
      <w:tr>
        <w:trPr>
          <w:trHeight w:val="1001" w:hRule="exac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Замена ветхих участков водопроводных сетей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6500 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>
        <w:trPr>
          <w:trHeight w:val="455" w:hRule="exact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8 000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567" w:right="357" w:gutter="0" w:header="709" w:top="766" w:footer="709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60" w:after="0"/>
        <w:ind w:left="709" w:right="463" w:hanging="0"/>
        <w:rPr>
          <w:rFonts w:eastAsia="Times New Roman"/>
          <w:b/>
          <w:b/>
          <w:bCs/>
          <w:sz w:val="20"/>
          <w:szCs w:val="20"/>
        </w:rPr>
      </w:pPr>
      <w:r>
        <w:rPr>
          <w:sz w:val="20"/>
          <w:szCs w:val="20"/>
        </w:rPr>
        <w:t>Примечание. Объем инвестиций необходимо уточнять по факту принятия решения о строительстве или реконструкции каждого объекта в индивидуальном порядке. Кроме того, объем средств будет уточняться после доведения лимитов бюджетных обязательств из бюджетов всех уровней на очередной финансовый год плановый период.</w:t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102" w:name="_Toc107492636"/>
      <w:r>
        <w:rPr/>
        <w:t>ПЛАНОВЫЕ ЗНАЧЕНИЯ ПОКАЗАТЕЛЕЙ РАЗВИТИЯ ЦЕНТРАЛИЗОВАННЫХ СИСТЕМ ВОДОСНАБЖЕНИЯ</w:t>
      </w:r>
      <w:bookmarkEnd w:id="102"/>
    </w:p>
    <w:p>
      <w:pPr>
        <w:pStyle w:val="Normal"/>
        <w:rPr>
          <w:szCs w:val="24"/>
        </w:rPr>
      </w:pPr>
      <w:r>
        <w:rPr>
          <w:szCs w:val="24"/>
        </w:rPr>
        <w:t>К плановым показателям развития централизованных систем водоснабжения (плановым показателям деятельности организаций, осуществляющих холодное водоснабжение) относятся:</w:t>
      </w:r>
    </w:p>
    <w:p>
      <w:pPr>
        <w:pStyle w:val="ListParagraph"/>
        <w:numPr>
          <w:ilvl w:val="0"/>
          <w:numId w:val="31"/>
        </w:numPr>
        <w:spacing w:lineRule="auto" w:line="276"/>
        <w:ind w:left="993" w:hanging="360"/>
        <w:jc w:val="both"/>
        <w:rPr>
          <w:sz w:val="24"/>
        </w:rPr>
      </w:pPr>
      <w:r>
        <w:rPr>
          <w:sz w:val="24"/>
        </w:rPr>
        <w:t>показатели качества воды;</w:t>
      </w:r>
    </w:p>
    <w:p>
      <w:pPr>
        <w:pStyle w:val="ListParagraph"/>
        <w:numPr>
          <w:ilvl w:val="0"/>
          <w:numId w:val="31"/>
        </w:numPr>
        <w:spacing w:lineRule="auto" w:line="276"/>
        <w:ind w:left="993" w:hanging="360"/>
        <w:jc w:val="both"/>
        <w:rPr>
          <w:sz w:val="24"/>
        </w:rPr>
      </w:pPr>
      <w:r>
        <w:rPr>
          <w:sz w:val="24"/>
        </w:rPr>
        <w:t>показатели надежности и бесперебойности водоснабжения;</w:t>
      </w:r>
    </w:p>
    <w:p>
      <w:pPr>
        <w:pStyle w:val="ListParagraph"/>
        <w:numPr>
          <w:ilvl w:val="0"/>
          <w:numId w:val="31"/>
        </w:numPr>
        <w:spacing w:lineRule="auto" w:line="276"/>
        <w:ind w:left="993" w:hanging="360"/>
        <w:jc w:val="both"/>
        <w:rPr>
          <w:sz w:val="24"/>
        </w:rPr>
      </w:pPr>
      <w:r>
        <w:rPr>
          <w:sz w:val="24"/>
        </w:rPr>
        <w:t>показатели эффективности использования ресурсов, в том числе уровень потерь воды (тепловой энергии в составе горячей воды);</w:t>
      </w:r>
    </w:p>
    <w:p>
      <w:pPr>
        <w:pStyle w:val="ListParagraph"/>
        <w:numPr>
          <w:ilvl w:val="0"/>
          <w:numId w:val="31"/>
        </w:numPr>
        <w:spacing w:lineRule="auto" w:line="276"/>
        <w:ind w:left="993" w:hanging="360"/>
        <w:jc w:val="both"/>
        <w:rPr>
          <w:sz w:val="24"/>
        </w:rPr>
      </w:pPr>
      <w:r>
        <w:rPr>
          <w:sz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>
      <w:pPr>
        <w:pStyle w:val="Normal"/>
        <w:rPr>
          <w:szCs w:val="24"/>
        </w:rPr>
      </w:pPr>
      <w:r>
        <w:rPr>
          <w:szCs w:val="24"/>
        </w:rPr>
        <w:t>Правила формирования плановых показателей деятельности организаций, осуществляющих холодное водоснабжение, и их расчета, перечень плановых показателей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>
      <w:pPr>
        <w:pStyle w:val="Normal"/>
        <w:rPr>
          <w:szCs w:val="24"/>
        </w:rPr>
      </w:pPr>
      <w:r>
        <w:rPr>
          <w:szCs w:val="24"/>
        </w:rPr>
        <w:t>Плановые показатели деятельности организаций, осуществляющих холодное водоснабжение,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организации, осуществляющей холодное водоснабжение, за истекший период регулирования и результатов технического обследования централизованных систем холодного водоснабжения.</w:t>
      </w:r>
    </w:p>
    <w:p>
      <w:pPr>
        <w:pStyle w:val="Normal"/>
        <w:spacing w:before="0" w:after="0"/>
        <w:rPr>
          <w:szCs w:val="24"/>
          <w:lang w:eastAsia="ru-RU"/>
        </w:rPr>
      </w:pPr>
      <w:r>
        <w:rPr>
          <w:szCs w:val="24"/>
          <w:lang w:eastAsia="ru-RU"/>
        </w:rPr>
        <w:t xml:space="preserve">Динамика плановых показателей развития централизованной системы водоснабжения представлена в таблице </w:t>
      </w:r>
      <w:r>
        <w:rPr/>
        <w:t>1.</w:t>
      </w:r>
      <w:r>
        <w:rPr>
          <w:szCs w:val="24"/>
          <w:lang w:eastAsia="ru-RU"/>
        </w:rPr>
        <w:t>9.1.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134" w:right="567" w:gutter="0" w:header="709" w:top="766" w:footer="709" w:bottom="766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keepNext w:val="true"/>
        <w:jc w:val="right"/>
        <w:rPr>
          <w:lang w:eastAsia="ru-RU"/>
        </w:rPr>
      </w:pPr>
      <w:r>
        <w:rPr>
          <w:lang w:eastAsia="ru-RU"/>
        </w:rPr>
        <w:t xml:space="preserve">Таблица </w:t>
      </w:r>
      <w:r>
        <w:rPr/>
        <w:t>1.</w:t>
      </w:r>
      <w:r>
        <w:rPr>
          <w:lang w:eastAsia="ru-RU"/>
        </w:rPr>
        <w:t>9.1</w:t>
      </w:r>
    </w:p>
    <w:p>
      <w:pPr>
        <w:pStyle w:val="Normal"/>
        <w:keepNext w:val="true"/>
        <w:ind w:hanging="0"/>
        <w:jc w:val="center"/>
        <w:rPr>
          <w:lang w:eastAsia="ru-RU"/>
        </w:rPr>
      </w:pPr>
      <w:r>
        <w:rPr>
          <w:lang w:eastAsia="ru-RU"/>
        </w:rPr>
        <w:t>Плановые значения показателей развития централизованных систем водоснабжения</w:t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233"/>
        <w:gridCol w:w="5699"/>
        <w:gridCol w:w="1199"/>
        <w:gridCol w:w="667"/>
        <w:gridCol w:w="667"/>
        <w:gridCol w:w="670"/>
        <w:gridCol w:w="665"/>
        <w:gridCol w:w="667"/>
        <w:gridCol w:w="670"/>
        <w:gridCol w:w="670"/>
        <w:gridCol w:w="665"/>
        <w:gridCol w:w="661"/>
        <w:gridCol w:w="660"/>
        <w:gridCol w:w="642"/>
      </w:tblGrid>
      <w:tr>
        <w:trPr>
          <w:tblHeader w:val="true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 показатели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Базовый показатель на 2021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110" w:right="-155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 г.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208" w:right="-199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 г.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164" w:right="-104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 г.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164" w:right="-104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2031 г.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164" w:right="-104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2032 г.</w:t>
            </w:r>
          </w:p>
        </w:tc>
      </w:tr>
      <w:tr>
        <w:trPr>
          <w:trHeight w:val="1524" w:hRule="atLeast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Показатели качества воды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Доля проб питьевой воды, подаваемой с источников водоснабжения, водоочистных станций 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Водопроводные сети, нуждающиеся в замене, км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98" w:hRule="atLeast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Аварийность на сетях водопровода, ед./км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>
        <w:trPr/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Износ водопроводных сетей,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4" w:right="-104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ед./км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>
        <w:trPr/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Показатели эффективности использования ресурсов, в том числе уровень потерь воды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Объем неоплаченной воды от общего объема подачи,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1160" w:hRule="atLeast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Доля потерь воды в централизованных системах холодного водоснабжения при ее транспортировке в общем объеме воды, поданной в водопроводную сеть,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>
          <w:trHeight w:val="377" w:hRule="atLeast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кВтч/м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кВтч/м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567" w:right="357" w:gutter="0" w:header="709" w:top="766" w:footer="709" w:bottom="76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hanging="0"/>
        <w:jc w:val="left"/>
        <w:rPr>
          <w:rFonts w:eastAsia="Times New Roman"/>
          <w:b/>
          <w:b/>
          <w:bCs/>
          <w:szCs w:val="26"/>
        </w:rPr>
      </w:pPr>
      <w:r>
        <w:rPr>
          <w:rFonts w:eastAsia="Times New Roman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103" w:name="_Toc107492637"/>
      <w:r>
        <w:rPr/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03"/>
    </w:p>
    <w:p>
      <w:pPr>
        <w:pStyle w:val="Normal"/>
        <w:rPr>
          <w:szCs w:val="24"/>
        </w:rPr>
      </w:pPr>
      <w:r>
        <w:rPr/>
        <w:t xml:space="preserve">Сведения </w:t>
      </w:r>
      <w:r>
        <w:rPr>
          <w:szCs w:val="24"/>
        </w:rPr>
        <w:t xml:space="preserve">об объекте, имеющем признаки бесхозяйного, могут поступать: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от исполнительных органов государственной власти Российской Федерации;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субъектов Российской Федерации;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органов местного самоуправления;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на основании заявлений юридических и физических лиц;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>выявляться в ходе осуществления технического обследования централизованных систем.</w:t>
      </w:r>
    </w:p>
    <w:p>
      <w:pPr>
        <w:pStyle w:val="Normal"/>
        <w:rPr>
          <w:szCs w:val="24"/>
        </w:rPr>
      </w:pPr>
      <w:r>
        <w:rPr>
          <w:szCs w:val="24"/>
        </w:rPr>
        <w:t xml:space="preserve">Эксплуатация выявленных бесхозяйных объектов централизованных систем холодного водоснабжения, в том числе водопроводных сетей, путем эксплуатации которых обеспечивается водоснабжение, осуществляется в порядке, установленном Федеральным законом от 07.12.2011 года № 416-ФЗ (ред. от 25.12.2018) «О водоснабжении и водоотведении». </w:t>
      </w:r>
    </w:p>
    <w:p>
      <w:pPr>
        <w:pStyle w:val="Normal"/>
        <w:rPr>
          <w:szCs w:val="24"/>
        </w:rPr>
      </w:pPr>
      <w:r>
        <w:rPr>
          <w:szCs w:val="24"/>
        </w:rPr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администрации.</w:t>
      </w:r>
    </w:p>
    <w:p>
      <w:pPr>
        <w:pStyle w:val="Normal"/>
        <w:rPr>
          <w:szCs w:val="24"/>
        </w:rPr>
      </w:pPr>
      <w:r>
        <w:rPr/>
        <w:t xml:space="preserve">На территории </w:t>
      </w:r>
      <w:r>
        <w:rPr>
          <w:szCs w:val="24"/>
        </w:rPr>
        <w:t>Чугуевского муниципального округа</w:t>
      </w:r>
      <w:r>
        <w:rPr/>
        <w:t xml:space="preserve"> бесхозяйные объекты централизованных систем водоснабжения отсутствуют.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"/>
        <w:numPr>
          <w:ilvl w:val="0"/>
          <w:numId w:val="0"/>
        </w:numPr>
        <w:spacing w:lineRule="auto" w:line="240"/>
        <w:ind w:left="284" w:hanging="0"/>
        <w:jc w:val="center"/>
        <w:rPr>
          <w:u w:val="single"/>
        </w:rPr>
      </w:pPr>
      <w:bookmarkStart w:id="104" w:name="_Toc107492638"/>
      <w:r>
        <w:rPr>
          <w:u w:val="single"/>
        </w:rPr>
        <w:t>СХЕМА ВОДООТВЕДЕНИЯ</w:t>
      </w:r>
      <w:bookmarkEnd w:id="104"/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Чугуевского муниципального округа</w:t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Приморского края</w:t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55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eastAsia="Times New Roman"/>
          <w:b/>
          <w:b/>
          <w:kern w:val="2"/>
          <w:szCs w:val="28"/>
        </w:rPr>
      </w:pPr>
      <w:r>
        <w:rPr>
          <w:rFonts w:eastAsia="Times New Roman"/>
          <w:b/>
          <w:kern w:val="2"/>
          <w:szCs w:val="28"/>
        </w:rPr>
      </w:r>
      <w:bookmarkStart w:id="105" w:name="_Toc4933144"/>
      <w:bookmarkStart w:id="106" w:name="_Toc4933144"/>
      <w:bookmarkEnd w:id="106"/>
      <w:r>
        <w:br w:type="page"/>
      </w:r>
    </w:p>
    <w:p>
      <w:pPr>
        <w:pStyle w:val="2"/>
        <w:numPr>
          <w:ilvl w:val="0"/>
          <w:numId w:val="0"/>
        </w:numPr>
        <w:spacing w:lineRule="auto" w:line="240"/>
        <w:ind w:left="284" w:hanging="0"/>
        <w:jc w:val="center"/>
        <w:rPr>
          <w:u w:val="single"/>
        </w:rPr>
      </w:pPr>
      <w:bookmarkStart w:id="107" w:name="_Toc4933144"/>
      <w:bookmarkStart w:id="108" w:name="_Toc107492639"/>
      <w:bookmarkEnd w:id="107"/>
      <w:r>
        <w:rPr>
          <w:bCs w:val="false"/>
          <w:kern w:val="2"/>
        </w:rPr>
        <w:t>ТЕРМИНЫ И ОПРЕДЕЛЕНИЯ</w:t>
      </w:r>
      <w:bookmarkEnd w:id="108"/>
    </w:p>
    <w:p>
      <w:pPr>
        <w:pStyle w:val="Normal"/>
        <w:spacing w:before="0" w:after="120"/>
        <w:rPr/>
      </w:pPr>
      <w:r>
        <w:rPr/>
        <w:t xml:space="preserve">В настоящем документе применяются следующие термины и определения: </w:t>
      </w:r>
    </w:p>
    <w:p>
      <w:pPr>
        <w:pStyle w:val="Normal"/>
        <w:spacing w:before="0" w:after="120"/>
        <w:rPr/>
      </w:pPr>
      <w:r>
        <w:rPr/>
        <w:t>«схема водоотведения»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централизованной системы холодного водоснабжения (или) водоотведения и направления ее развития;</w:t>
      </w:r>
    </w:p>
    <w:p>
      <w:pPr>
        <w:pStyle w:val="Normal"/>
        <w:spacing w:before="0" w:after="120"/>
        <w:rPr/>
      </w:pPr>
      <w:r>
        <w:rPr/>
        <w:t xml:space="preserve"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 </w:t>
      </w:r>
    </w:p>
    <w:p>
      <w:pPr>
        <w:pStyle w:val="Normal"/>
        <w:spacing w:before="0" w:after="120"/>
        <w:rPr/>
      </w:pPr>
      <w:r>
        <w:rPr/>
        <w:t>«эксплуатационная зона»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водоотведения;</w:t>
      </w:r>
    </w:p>
    <w:p>
      <w:pPr>
        <w:pStyle w:val="Normal"/>
        <w:spacing w:before="0" w:after="120"/>
        <w:rPr/>
      </w:pPr>
      <w:r>
        <w:rPr/>
        <w:t>«абонент» - физическое либо юридическое лицо, заключившее или обязанное заключить договор водоотведения, единый договор холодного водоснабжения и водоотведения;</w:t>
      </w:r>
    </w:p>
    <w:p>
      <w:pPr>
        <w:pStyle w:val="Normal"/>
        <w:spacing w:before="0" w:after="120"/>
        <w:rPr/>
      </w:pPr>
      <w:r>
        <w:rPr/>
        <w:t>«водоотведение» - прием, транспортировка и очистка сточных вод с использованием централизованной системы водоотведения;</w:t>
      </w:r>
    </w:p>
    <w:p>
      <w:pPr>
        <w:pStyle w:val="Normal"/>
        <w:spacing w:before="0" w:after="120"/>
        <w:rPr/>
      </w:pPr>
      <w:r>
        <w:rPr/>
        <w:t>«гарантирующая организация» - организация, осуществляющая водоотведение, определенная решением органа местного самоуправления поселения, которая обязана заключить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водоотведения;</w:t>
      </w:r>
    </w:p>
    <w:p>
      <w:pPr>
        <w:pStyle w:val="Normal"/>
        <w:spacing w:before="0" w:after="120"/>
        <w:rPr/>
      </w:pPr>
      <w:r>
        <w:rPr/>
        <w:t>«инвестиционная программа организации, осуществляющей водоотведение (далее также - инвестиционная программа)» - программа мероприятий по строительству, реконструкции и модернизации объектов централизованной системы водоотведения;</w:t>
      </w:r>
    </w:p>
    <w:p>
      <w:pPr>
        <w:pStyle w:val="Normal"/>
        <w:spacing w:before="0" w:after="120"/>
        <w:rPr/>
      </w:pPr>
      <w:r>
        <w:rPr/>
        <w:t>«канализационная сеть» - комплекс технологически связанных между собой инженерных сооружений, предназначенных для транспортировки сточных вод;</w:t>
      </w:r>
    </w:p>
    <w:p>
      <w:pPr>
        <w:pStyle w:val="Normal"/>
        <w:spacing w:before="0" w:after="120"/>
        <w:rPr/>
      </w:pPr>
      <w:r>
        <w:rPr/>
        <w:t>«коммерческий учет сточных вод (далее также - коммерческий учет)» - определение количества принятых (отведенных) сточных вод с помощью средств измерений (далее - приборы учета) или расчетным способом;</w:t>
      </w:r>
    </w:p>
    <w:p>
      <w:pPr>
        <w:pStyle w:val="Normal"/>
        <w:spacing w:before="0" w:after="120"/>
        <w:rPr/>
      </w:pPr>
      <w:r>
        <w:rPr/>
        <w:t>«нецентрализованная система горячего водоснабжения»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>
      <w:pPr>
        <w:pStyle w:val="Normal"/>
        <w:spacing w:before="0" w:after="120"/>
        <w:rPr/>
      </w:pPr>
      <w:r>
        <w:rPr/>
        <w:t>«объект централизованной системы водоотведения» - инженерное сооружение, входящее в состав централизованной системы водоотведения, непосредственно используемое для водоотведения;</w:t>
      </w:r>
    </w:p>
    <w:p>
      <w:pPr>
        <w:pStyle w:val="Normal"/>
        <w:spacing w:before="0" w:after="120"/>
        <w:rPr/>
      </w:pPr>
      <w:r>
        <w:rPr/>
        <w:t>«организация, осуществляющая водоотведение (организация водопроводно-канализационного хозяйства)» - юридическое лицо, осуществляющее эксплуатацию централизованных систем водоотведения, отдельных объектов таких систем;</w:t>
      </w:r>
    </w:p>
    <w:p>
      <w:pPr>
        <w:pStyle w:val="Normal"/>
        <w:spacing w:before="0" w:after="120"/>
        <w:rPr/>
      </w:pPr>
      <w:r>
        <w:rPr/>
        <w:t>«орган регулирования тарифов в сфере водоотведения (далее - орган регулирования тарифов)»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округа, осуществляющий регулирование тарифов в сфере водоотведения;</w:t>
      </w:r>
    </w:p>
    <w:p>
      <w:pPr>
        <w:pStyle w:val="Normal"/>
        <w:spacing w:before="0" w:after="120"/>
        <w:rPr/>
      </w:pPr>
      <w:r>
        <w:rPr/>
        <w:t>«предельные индексы изменения тарифов в сфере водоотведения (далее - предельные индексы)» - индексы максимально и (или) минимально возможного изменения действующих тарифов на водоотведение, устанавливаемые в среднем по субъектам Российской Федерации на год, если иное не установлено другими федеральными законами или решением Правительства Российской Федерации, и выраженные в процентах;</w:t>
      </w:r>
    </w:p>
    <w:p>
      <w:pPr>
        <w:pStyle w:val="Normal"/>
        <w:spacing w:before="0" w:after="120"/>
        <w:rPr/>
      </w:pPr>
      <w:r>
        <w:rPr/>
        <w:t>«производственная программа организации, осуществляющей водоотведение (далее - производственная программа)» - программа текущей (операционной) деятельности такой организации по осуществлению водоотведения, регулируемых видов деятельности в сфере водоотведения;</w:t>
      </w:r>
    </w:p>
    <w:p>
      <w:pPr>
        <w:pStyle w:val="Normal"/>
        <w:spacing w:before="0" w:after="120"/>
        <w:rPr/>
      </w:pPr>
      <w:r>
        <w:rPr/>
        <w:t>«состав и свойства сточных вод» -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веществ и микроорганизмов в сточных водах;</w:t>
      </w:r>
    </w:p>
    <w:p>
      <w:pPr>
        <w:pStyle w:val="Normal"/>
        <w:spacing w:before="0" w:after="120"/>
        <w:rPr/>
      </w:pPr>
      <w:r>
        <w:rPr/>
        <w:t>«сточные воды централизованной системы водоотведения (далее - сточные воды)»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>
      <w:pPr>
        <w:pStyle w:val="Normal"/>
        <w:spacing w:before="0" w:after="120"/>
        <w:rPr/>
      </w:pPr>
      <w:r>
        <w:rPr/>
        <w:t>«техническое обследование централизованных систем водоотведения» - оценка технических характеристик объектов централизованных систем водоотведения;</w:t>
      </w:r>
    </w:p>
    <w:p>
      <w:pPr>
        <w:pStyle w:val="Normal"/>
        <w:spacing w:before="0" w:after="120"/>
        <w:rPr/>
      </w:pPr>
      <w:r>
        <w:rPr/>
        <w:t>«транспортировка сточных вод» - перемещение сточных вод, осуществляемое с использованием канализационных сетей;</w:t>
      </w:r>
    </w:p>
    <w:p>
      <w:pPr>
        <w:pStyle w:val="Normal"/>
        <w:spacing w:before="0" w:after="120"/>
        <w:rPr/>
      </w:pPr>
      <w:r>
        <w:rPr/>
        <w:t>«централизованная система водоотведения (канализации)» - комплекс технологически связанных между собой инженерных сооружений, предназначенных для водоотведения.</w:t>
      </w:r>
    </w:p>
    <w:p>
      <w:pPr>
        <w:pStyle w:val="Normal"/>
        <w:ind w:hanging="0"/>
        <w:jc w:val="left"/>
        <w:rPr/>
      </w:pPr>
      <w:r>
        <w:rPr/>
      </w:r>
    </w:p>
    <w:p>
      <w:pPr>
        <w:pStyle w:val="Normal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/>
      </w:r>
      <w:r>
        <w:br w:type="page"/>
      </w:r>
    </w:p>
    <w:p>
      <w:pPr>
        <w:pStyle w:val="ListParagraph"/>
        <w:keepNext w:val="true"/>
        <w:keepLines/>
        <w:numPr>
          <w:ilvl w:val="0"/>
          <w:numId w:val="33"/>
        </w:numPr>
        <w:spacing w:lineRule="auto" w:line="276" w:before="200" w:after="200"/>
        <w:contextualSpacing w:val="false"/>
        <w:jc w:val="both"/>
        <w:outlineLvl w:val="1"/>
        <w:rPr>
          <w:rFonts w:eastAsia="TimesNewRomanPS-BoldMT"/>
          <w:b/>
          <w:b/>
          <w:bCs/>
          <w:vanish/>
          <w:sz w:val="24"/>
          <w:szCs w:val="26"/>
          <w:lang w:eastAsia="en-US"/>
        </w:rPr>
      </w:pPr>
      <w:r>
        <w:rPr>
          <w:rFonts w:eastAsia="TimesNewRomanPS-BoldMT"/>
          <w:b/>
          <w:bCs/>
          <w:vanish/>
          <w:sz w:val="24"/>
          <w:szCs w:val="26"/>
          <w:lang w:eastAsia="en-US"/>
        </w:rPr>
      </w:r>
    </w:p>
    <w:p>
      <w:pPr>
        <w:pStyle w:val="2"/>
        <w:numPr>
          <w:ilvl w:val="1"/>
          <w:numId w:val="33"/>
        </w:numPr>
        <w:rPr>
          <w:rFonts w:eastAsia="TimesNewRomanPS-BoldMT"/>
        </w:rPr>
      </w:pPr>
      <w:bookmarkStart w:id="109" w:name="_Toc107492640"/>
      <w:r>
        <w:rPr>
          <w:rFonts w:eastAsia="TimesNewRomanPS-BoldMT"/>
        </w:rPr>
        <w:t>ОБЩИЕ ПОЛОЖЕНИЯ</w:t>
      </w:r>
      <w:bookmarkEnd w:id="109"/>
    </w:p>
    <w:p>
      <w:pPr>
        <w:pStyle w:val="Normal"/>
        <w:rPr>
          <w:b/>
          <w:b/>
          <w:i/>
          <w:i/>
          <w:szCs w:val="24"/>
        </w:rPr>
      </w:pPr>
      <w:r>
        <w:rPr>
          <w:b/>
          <w:i/>
          <w:szCs w:val="24"/>
        </w:rPr>
        <w:t xml:space="preserve">Целью разработки схемы водоотведения является: </w:t>
      </w:r>
    </w:p>
    <w:p>
      <w:pPr>
        <w:pStyle w:val="ListParagraph"/>
        <w:numPr>
          <w:ilvl w:val="0"/>
          <w:numId w:val="21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>
      <w:pPr>
        <w:pStyle w:val="ListParagraph"/>
        <w:numPr>
          <w:ilvl w:val="0"/>
          <w:numId w:val="21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>повышение комфортности проживания населения, а также санитарно-эпидемиологического состояния селитебной территории;</w:t>
      </w:r>
    </w:p>
    <w:p>
      <w:pPr>
        <w:pStyle w:val="ListParagraph"/>
        <w:numPr>
          <w:ilvl w:val="0"/>
          <w:numId w:val="21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>техническое и экономическое обоснование решений по выбору методов отвода (утилизации) сточных вод от потребителя.</w:t>
      </w:r>
    </w:p>
    <w:p>
      <w:pPr>
        <w:pStyle w:val="Normal"/>
        <w:rPr>
          <w:b/>
          <w:b/>
          <w:i/>
          <w:i/>
          <w:szCs w:val="24"/>
        </w:rPr>
      </w:pPr>
      <w:r>
        <w:rPr>
          <w:b/>
          <w:i/>
          <w:szCs w:val="24"/>
        </w:rPr>
        <w:t>Основные задачи разработки схемы водоотведения состоят в следующем:</w:t>
      </w:r>
    </w:p>
    <w:p>
      <w:pPr>
        <w:pStyle w:val="ListParagraph"/>
        <w:numPr>
          <w:ilvl w:val="0"/>
          <w:numId w:val="22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развитие системы муниципального регулирования в секторе водоотведения, включая установление современных целевых показателей качества услуг, эффективности и надежности деятельности сектора; </w:t>
      </w:r>
    </w:p>
    <w:p>
      <w:pPr>
        <w:pStyle w:val="ListParagraph"/>
        <w:numPr>
          <w:ilvl w:val="0"/>
          <w:numId w:val="22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>модернизация систем водоотведения посредством подготовки и участия в муниципальных и региональных программах  Приморского края, направленных на развитие и повышение качества услуг данной отрасли.</w:t>
      </w:r>
    </w:p>
    <w:p>
      <w:pPr>
        <w:pStyle w:val="Normal"/>
        <w:rPr>
          <w:szCs w:val="24"/>
        </w:rPr>
      </w:pPr>
      <w:r>
        <w:rPr>
          <w:szCs w:val="24"/>
        </w:rPr>
        <w:t xml:space="preserve">Схема водоотведения Чугуевского муниципального округа Приморского края разработана в соответствии со следующими документами: </w:t>
      </w:r>
    </w:p>
    <w:p>
      <w:pPr>
        <w:pStyle w:val="Normal"/>
        <w:rPr>
          <w:szCs w:val="24"/>
        </w:rPr>
      </w:pPr>
      <w:r>
        <w:rPr>
          <w:szCs w:val="24"/>
        </w:rPr>
        <w:t>1. Документы территориального планирования, включающие в себя.</w:t>
      </w:r>
    </w:p>
    <w:p>
      <w:pPr>
        <w:pStyle w:val="Normal"/>
        <w:spacing w:before="0" w:after="120"/>
        <w:rPr/>
      </w:pPr>
      <w:r>
        <w:rPr/>
        <w:t>2. Нормативы градостроительного проектирования.</w:t>
      </w:r>
    </w:p>
    <w:p>
      <w:pPr>
        <w:pStyle w:val="Normal"/>
        <w:rPr>
          <w:szCs w:val="24"/>
        </w:rPr>
      </w:pPr>
      <w:r>
        <w:rPr>
          <w:szCs w:val="24"/>
        </w:rPr>
        <w:t>3. Инвестиционные программы комплексного развития.</w:t>
      </w:r>
    </w:p>
    <w:p>
      <w:pPr>
        <w:pStyle w:val="Normal"/>
        <w:rPr>
          <w:szCs w:val="24"/>
        </w:rPr>
      </w:pPr>
      <w:r>
        <w:rPr>
          <w:szCs w:val="24"/>
        </w:rPr>
        <w:t>4. Иные документы и материалы, подлежащие к учету.</w:t>
      </w:r>
    </w:p>
    <w:p>
      <w:pPr>
        <w:pStyle w:val="Normal"/>
        <w:rPr/>
      </w:pPr>
      <w:r>
        <w:rPr>
          <w:szCs w:val="24"/>
        </w:rPr>
        <w:t xml:space="preserve">5. </w:t>
      </w:r>
      <w:r>
        <w:rPr/>
        <w:t>Документы (требования) законодательства Российской Федерации, включающие в себя: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851" w:hanging="360"/>
        <w:contextualSpacing w:val="false"/>
        <w:jc w:val="both"/>
        <w:rPr>
          <w:sz w:val="24"/>
        </w:rPr>
      </w:pPr>
      <w:r>
        <w:rPr>
          <w:sz w:val="24"/>
        </w:rPr>
        <w:t>Градостроительный кодекс РФ от 29.12.2004 № 190-ФЗ (ред. от 25.12.2018);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851" w:hanging="360"/>
        <w:contextualSpacing w:val="false"/>
        <w:jc w:val="both"/>
        <w:rPr>
          <w:sz w:val="24"/>
        </w:rPr>
      </w:pPr>
      <w:r>
        <w:rPr>
          <w:sz w:val="24"/>
        </w:rPr>
        <w:t>СП 32.13330.2018 «Канализация. Наружные сети и сооружения;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851" w:hanging="360"/>
        <w:contextualSpacing w:val="false"/>
        <w:jc w:val="both"/>
        <w:rPr>
          <w:sz w:val="24"/>
        </w:rPr>
      </w:pPr>
      <w:r>
        <w:rPr>
          <w:sz w:val="24"/>
        </w:rPr>
        <w:t>СНиП 2.04.02-84* «Водоснабжение. Наружные сети и сооружения»;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851" w:hanging="360"/>
        <w:contextualSpacing w:val="false"/>
        <w:jc w:val="both"/>
        <w:rPr>
          <w:sz w:val="24"/>
        </w:rPr>
      </w:pPr>
      <w:r>
        <w:rPr>
          <w:sz w:val="24"/>
        </w:rPr>
        <w:t>СП 31.13330.2012 «Водоснабжение. Наружные сети и сооружения. Актуализированная редакция СНиП 2.04.02-84 «Водоснабжение. Наружные сети и сооружения»;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851" w:hanging="360"/>
        <w:contextualSpacing w:val="false"/>
        <w:jc w:val="both"/>
        <w:rPr>
          <w:sz w:val="24"/>
        </w:rPr>
      </w:pPr>
      <w:r>
        <w:rPr>
          <w:sz w:val="24"/>
        </w:rPr>
        <w:t>СП 30.13330.2020 «Внутренний водопровод и канализация зданий;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851" w:hanging="360"/>
        <w:contextualSpacing w:val="false"/>
        <w:jc w:val="both"/>
        <w:rPr>
          <w:sz w:val="24"/>
        </w:rPr>
      </w:pPr>
      <w:r>
        <w:rPr>
          <w:sz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мероприятий;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851" w:hanging="360"/>
        <w:contextualSpacing w:val="false"/>
        <w:jc w:val="both"/>
        <w:rPr>
          <w:sz w:val="24"/>
        </w:rPr>
      </w:pPr>
      <w:r>
        <w:rPr>
          <w:sz w:val="24"/>
        </w:rPr>
        <w:t xml:space="preserve">Федеральный закон от 7.12.2011 № 416-ФЗ </w:t>
      </w:r>
      <w:r>
        <w:rPr>
          <w:sz w:val="24"/>
          <w:shd w:fill="FFFFFF" w:val="clear"/>
        </w:rPr>
        <w:t>(ред. от 25.12.2018)</w:t>
      </w:r>
      <w:r>
        <w:rPr>
          <w:sz w:val="24"/>
        </w:rPr>
        <w:t xml:space="preserve"> «О водоснабжении и водоотведении»;</w:t>
      </w:r>
    </w:p>
    <w:p>
      <w:pPr>
        <w:pStyle w:val="ListParagraph"/>
        <w:numPr>
          <w:ilvl w:val="0"/>
          <w:numId w:val="23"/>
        </w:numPr>
        <w:spacing w:lineRule="auto" w:line="276" w:before="0" w:after="120"/>
        <w:ind w:left="851" w:hanging="360"/>
        <w:contextualSpacing w:val="false"/>
        <w:jc w:val="both"/>
        <w:rPr>
          <w:sz w:val="24"/>
        </w:rPr>
      </w:pPr>
      <w:r>
        <w:rPr>
          <w:sz w:val="24"/>
        </w:rPr>
        <w:t>Правила разработки и утверждения схем водоснабжения и водоотведения. Требования к содержанию схем водоснабжения и водоотведения, утвержденные постановлением Правительства Российской Федерации от 5 сентября 2013 г. № 782 (с изменениями на 22 мая 2020 года).</w:t>
      </w:r>
    </w:p>
    <w:p>
      <w:pPr>
        <w:pStyle w:val="Normal"/>
        <w:rPr>
          <w:szCs w:val="24"/>
        </w:rPr>
      </w:pPr>
      <w:r>
        <w:rPr>
          <w:szCs w:val="24"/>
        </w:rPr>
        <w:t>Схема водоотведения определяет направления развития систем водоотведения (канализации) населенных пунктов Чугуевского муниципального округа, необходимые для реализации документов территориального планирования, документов по планировке территорий на расчетный срок их освоения, а также документов социально-экономического планирования и стратегического прогнозирования.</w:t>
      </w:r>
    </w:p>
    <w:p>
      <w:pPr>
        <w:pStyle w:val="Normal"/>
        <w:rPr>
          <w:szCs w:val="24"/>
        </w:rPr>
      </w:pPr>
      <w:r>
        <w:rPr>
          <w:szCs w:val="24"/>
        </w:rPr>
        <w:t>В соответствии с требованиями Технического задания на выполнение работ по разработке схем водоснабжения и водоотведения Чугуевского муниципального округа определен срок реализации Схемы водоотведения – не менее 10 лет, но не более действия генерального плана.</w:t>
      </w:r>
    </w:p>
    <w:p>
      <w:pPr>
        <w:pStyle w:val="Normal"/>
        <w:rPr>
          <w:szCs w:val="24"/>
        </w:rPr>
      </w:pPr>
      <w:r>
        <w:rPr>
          <w:szCs w:val="24"/>
        </w:rPr>
        <w:t>Ключевые демографические показатели в области численности населения Чугуевского муниципального округа представлены ниже.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Таблица </w:t>
      </w:r>
      <w:r>
        <w:rPr/>
        <w:t>2.</w:t>
      </w:r>
      <w:r>
        <w:rPr>
          <w:szCs w:val="24"/>
        </w:rPr>
        <w:t>1.1</w:t>
      </w:r>
    </w:p>
    <w:p>
      <w:pPr>
        <w:pStyle w:val="Normal"/>
        <w:keepNext w:val="true"/>
        <w:ind w:hanging="0"/>
        <w:jc w:val="center"/>
        <w:rPr>
          <w:szCs w:val="24"/>
          <w:u w:val="single"/>
        </w:rPr>
      </w:pPr>
      <w:r>
        <w:rPr>
          <w:szCs w:val="24"/>
          <w:u w:val="single"/>
        </w:rPr>
        <w:t>Показатели численности населения на период разработки (2021 г.) и на расчетный срок его реализации (2021-2032 г.)</w:t>
      </w:r>
    </w:p>
    <w:tbl>
      <w:tblPr>
        <w:tblW w:w="48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80"/>
        <w:gridCol w:w="2587"/>
        <w:gridCol w:w="4029"/>
      </w:tblGrid>
      <w:tr>
        <w:trPr>
          <w:tblHeader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Численность постоянного населения на 01.01.2021 г.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Прогнозируемая численность населения на Расчетный срок 2032 г.</w:t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Чугуевский муниципальный округ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337" w:leader="none"/>
              </w:tabs>
              <w:snapToGrid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120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12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left"/>
        <w:rPr>
          <w:rFonts w:eastAsia="TimesNewRomanPS-BoldMT"/>
          <w:b/>
          <w:b/>
          <w:bCs/>
          <w:szCs w:val="26"/>
        </w:rPr>
      </w:pPr>
      <w:r>
        <w:rPr>
          <w:rFonts w:eastAsia="TimesNewRomanPS-BoldMT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110" w:name="_Toc107492641"/>
      <w:r>
        <w:rPr>
          <w:rFonts w:eastAsia="TimesNewRomanPS-BoldMT"/>
        </w:rPr>
        <w:t>СУЩЕСТВУЮЩЕЕ ПОЛОЖЕНИЕ В СФЕРЕ ВОДООТВЕДЕНИЯ</w:t>
      </w:r>
      <w:bookmarkEnd w:id="110"/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11" w:name="_Toc107492642"/>
      <w:r>
        <w:rPr>
          <w:rFonts w:eastAsia="TimesNewRomanPS-BoldMT"/>
        </w:rPr>
        <w:t>Описание структуры системы сбора, очистки и отведения сточных вод на территории Чугуевского муниципального округа и деление территории поселения на эксплуатационные зоны</w:t>
      </w:r>
      <w:bookmarkEnd w:id="111"/>
    </w:p>
    <w:p>
      <w:pPr>
        <w:pStyle w:val="Normal"/>
        <w:spacing w:before="0" w:after="120"/>
        <w:rPr/>
      </w:pPr>
      <w:r>
        <w:rPr/>
        <w:t>На момент разработки настоящей схемы централизованная система бытовой канализации на территории Чугуевского муниципального округа организована только в с. Чугуевка, с. Новочугуевка. В остальных населенных пунктах существующий жилой фонд не обеспечен внутренними системами канализации. Поэтому преобладающее место в системе канализации отведено выгребам и септикам.</w:t>
      </w:r>
    </w:p>
    <w:p>
      <w:pPr>
        <w:pStyle w:val="Normal"/>
        <w:spacing w:before="0" w:after="120"/>
        <w:rPr/>
      </w:pPr>
      <w:r>
        <w:rPr/>
        <w:t xml:space="preserve">Сточные воды от многоквартирных жилых домов и общественных зданий отводятся системой самотечных коллекторов на канализационную насосную станцию, откуда далее стоки поступают в канализационный очистной комплекс. Очищенные сточные воды сбрасываются в ручей, на рельеф местности. </w:t>
      </w:r>
    </w:p>
    <w:p>
      <w:pPr>
        <w:pStyle w:val="Normal"/>
        <w:spacing w:before="0" w:after="120"/>
        <w:rPr/>
      </w:pPr>
      <w:r>
        <w:rPr/>
        <w:t>Общая протяженность канализационных сетей с. Чугуевка, с. Новочугуевка неизвестна.</w:t>
      </w:r>
    </w:p>
    <w:p>
      <w:pPr>
        <w:pStyle w:val="Normal"/>
        <w:spacing w:before="0" w:after="120"/>
        <w:rPr/>
      </w:pPr>
      <w:r>
        <w:rPr/>
        <w:t>Техническое состояние системы водоотведения характеризуется малой степенью износа сетей и сооружений и оценивается как хорошее.</w:t>
      </w:r>
    </w:p>
    <w:p>
      <w:pPr>
        <w:pStyle w:val="Normal"/>
        <w:spacing w:before="0" w:after="120"/>
        <w:rPr/>
      </w:pPr>
      <w:r>
        <w:rPr/>
        <w:t>Ливневая канализация на территории Чугуевского муниципального округа отсутствует. Отвод дождевых и талых вод не регулируется и осуществляется в пониженные места существующего рельефа.</w:t>
      </w:r>
    </w:p>
    <w:p>
      <w:pPr>
        <w:pStyle w:val="Normal"/>
        <w:spacing w:before="0" w:after="120"/>
        <w:rPr/>
      </w:pPr>
      <w:r>
        <w:rPr/>
        <w:t>Часть жилищного фонда с. Чугуевка, а также прочие населенные пункты муниципального округа не имеют системы централизованного водоотведения. Накопление бытовых стоков производится в индивидуальные септики и выгреба. Большая часть населения использует выгребные ямы, не соответствующие требованиям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(не водонепроницаемые), что систематически загрязняет водоносные горизонты.</w:t>
      </w:r>
    </w:p>
    <w:p>
      <w:pPr>
        <w:pStyle w:val="Normal"/>
        <w:spacing w:before="0" w:after="120"/>
        <w:rPr>
          <w:szCs w:val="24"/>
        </w:rPr>
      </w:pPr>
      <w:r>
        <w:rPr/>
        <w:t>Сброс сточных вод без выполнения надлежащей очистки представляет серьезную угрозу для экологии окружающей среды и для населения Чугуевского муниципального округа.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12" w:name="_Toc107492643"/>
      <w:r>
        <w:rPr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12"/>
    </w:p>
    <w:p>
      <w:pPr>
        <w:pStyle w:val="Normal"/>
        <w:spacing w:before="0" w:after="0"/>
        <w:rPr/>
      </w:pPr>
      <w:r>
        <w:rPr/>
        <w:t xml:space="preserve">На территории с. Чугуевка, с. Новочугуевка имеются действующие канализационные очистные сооружения. </w:t>
      </w:r>
    </w:p>
    <w:p>
      <w:pPr>
        <w:pStyle w:val="Normal"/>
        <w:spacing w:before="0" w:after="0"/>
        <w:rPr/>
      </w:pPr>
      <w:r>
        <w:rPr/>
        <w:t>Сточные воды от многоквартирных жилых домов и общественных зданий отводятся системой самотечных коллекторов на канализационную насосную станцию, откуда далее стоки поступают в канализационный очистной комплекс. Очищенные сточные воды сбрасываются в ручей, на рельеф местности.</w:t>
      </w:r>
    </w:p>
    <w:p>
      <w:pPr>
        <w:pStyle w:val="Normal"/>
        <w:spacing w:before="0" w:after="0"/>
        <w:rPr/>
      </w:pPr>
      <w:r>
        <w:rPr/>
        <w:t>На территории Чугуевского муниципального округа возможно выделить 2 эксплуатационные зоны - с. Чугуевка, с. Новочугуевка.</w:t>
      </w:r>
    </w:p>
    <w:p>
      <w:pPr>
        <w:pStyle w:val="Normal"/>
        <w:spacing w:before="0" w:after="0"/>
        <w:rPr/>
      </w:pPr>
      <w:r>
        <w:rPr/>
        <w:t>Охват населения централизованной системой водоотведения составляет 30%.</w:t>
      </w:r>
    </w:p>
    <w:p>
      <w:pPr>
        <w:pStyle w:val="Normal"/>
        <w:spacing w:before="0" w:after="0"/>
        <w:rPr/>
      </w:pPr>
      <w:r>
        <w:rPr/>
        <w:t>Износ очистных сооружений 50 %, канализационных сетей 50 %.</w:t>
      </w:r>
    </w:p>
    <w:p>
      <w:pPr>
        <w:pStyle w:val="Normal"/>
        <w:spacing w:before="0" w:after="0"/>
        <w:rPr/>
      </w:pPr>
      <w:r>
        <w:rPr/>
        <w:t>Данные по анализу сточных вод отсутствуют.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13" w:name="_Toc107492644"/>
      <w:bookmarkStart w:id="114" w:name="_Toc375685088"/>
      <w:bookmarkStart w:id="115" w:name="_Toc375684060"/>
      <w:bookmarkStart w:id="116" w:name="_Toc375649236"/>
      <w:bookmarkEnd w:id="114"/>
      <w:bookmarkEnd w:id="115"/>
      <w:bookmarkEnd w:id="116"/>
      <w:r>
        <w:rPr/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13"/>
    </w:p>
    <w:p>
      <w:pPr>
        <w:pStyle w:val="Normal"/>
        <w:rPr>
          <w:szCs w:val="24"/>
        </w:rPr>
      </w:pPr>
      <w:r>
        <w:rPr>
          <w:szCs w:val="24"/>
        </w:rPr>
        <w:t xml:space="preserve">На территории Чугуевского муниципального округа централизованная система бытовой канализации организована только в </w:t>
      </w:r>
      <w:r>
        <w:rPr/>
        <w:t>с. Чугуевка, с. Новочугуевка</w:t>
      </w:r>
      <w:r>
        <w:rPr>
          <w:szCs w:val="24"/>
        </w:rPr>
        <w:t xml:space="preserve">. В остальных населенных пунктах, не обеспеченных системой канализации преобладающее место отведено выгребным ямам и септикам.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На территории Чугуевского муниципального округа условно можно выделить 2 технологические зоны системы водоотведения: </w:t>
      </w:r>
    </w:p>
    <w:p>
      <w:pPr>
        <w:pStyle w:val="Normal"/>
        <w:rPr>
          <w:szCs w:val="24"/>
        </w:rPr>
      </w:pPr>
      <w:r>
        <w:rPr>
          <w:szCs w:val="24"/>
        </w:rPr>
        <w:t>1.</w:t>
        <w:tab/>
      </w:r>
      <w:r>
        <w:rPr/>
        <w:t>с. Чугуевка;</w:t>
      </w:r>
    </w:p>
    <w:p>
      <w:pPr>
        <w:pStyle w:val="Normal"/>
        <w:rPr>
          <w:szCs w:val="24"/>
        </w:rPr>
      </w:pPr>
      <w:r>
        <w:rPr>
          <w:szCs w:val="24"/>
        </w:rPr>
        <w:t>2.</w:t>
        <w:tab/>
      </w:r>
      <w:r>
        <w:rPr/>
        <w:t>с. Новочугуевка</w:t>
      </w:r>
      <w:r>
        <w:rPr>
          <w:szCs w:val="24"/>
        </w:rPr>
        <w:t>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17" w:name="_Toc375649239"/>
      <w:bookmarkStart w:id="118" w:name="_Toc375684063"/>
      <w:bookmarkStart w:id="119" w:name="_Toc375685091"/>
      <w:bookmarkStart w:id="120" w:name="_Toc375684067"/>
      <w:bookmarkStart w:id="121" w:name="_Toc375685095"/>
      <w:bookmarkStart w:id="122" w:name="_Toc107492645"/>
      <w:bookmarkStart w:id="123" w:name="_Toc375649243"/>
      <w:bookmarkEnd w:id="117"/>
      <w:bookmarkEnd w:id="118"/>
      <w:bookmarkEnd w:id="119"/>
      <w:bookmarkEnd w:id="120"/>
      <w:bookmarkEnd w:id="121"/>
      <w:bookmarkEnd w:id="123"/>
      <w:r>
        <w:rPr/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22"/>
    </w:p>
    <w:p>
      <w:pPr>
        <w:pStyle w:val="Normal"/>
        <w:tabs>
          <w:tab w:val="clear" w:pos="709"/>
          <w:tab w:val="left" w:pos="0" w:leader="none"/>
        </w:tabs>
        <w:rPr>
          <w:szCs w:val="24"/>
        </w:rPr>
      </w:pPr>
      <w:r>
        <w:rPr>
          <w:szCs w:val="24"/>
        </w:rPr>
        <w:t>Система канализации с. Чугуевка, с. Новочугуевка — общесплавные. В муниципальном округе система дождевой канализации отсутствует. Канализационные стоки поселка подаются самотёком до КНС и далее напорными сетями на очистные сооружения.</w:t>
      </w:r>
    </w:p>
    <w:p>
      <w:pPr>
        <w:pStyle w:val="Normal"/>
        <w:tabs>
          <w:tab w:val="clear" w:pos="709"/>
          <w:tab w:val="left" w:pos="0" w:leader="none"/>
        </w:tabs>
        <w:rPr>
          <w:i/>
          <w:i/>
          <w:szCs w:val="24"/>
          <w:u w:val="single"/>
        </w:rPr>
      </w:pPr>
      <w:r>
        <w:rPr>
          <w:i/>
          <w:szCs w:val="24"/>
          <w:u w:val="single"/>
        </w:rPr>
        <w:t>Канализационные очистные сооружения.</w:t>
      </w:r>
    </w:p>
    <w:p>
      <w:pPr>
        <w:pStyle w:val="Normal"/>
        <w:tabs>
          <w:tab w:val="clear" w:pos="709"/>
          <w:tab w:val="left" w:pos="0" w:leader="none"/>
        </w:tabs>
        <w:rPr>
          <w:szCs w:val="24"/>
        </w:rPr>
      </w:pPr>
      <w:r>
        <w:rPr>
          <w:szCs w:val="24"/>
        </w:rPr>
        <w:t>С КНС стоки поступают в приемный колодец канализационных очистных сооружений. Характер стока -  хозяйственно-бытовой, промышленных предприятий в с. Чугуевка, с. Новочугуевка нет. Из приемного резервуара сточная вола поступает на блок биологической очистки и отстойники закрытого типа, расположенный в отдельном здании. Сточная вода после очистки без обеззараживания сбрасывается в ручей, на рельеф местности.</w:t>
      </w:r>
    </w:p>
    <w:p>
      <w:pPr>
        <w:pStyle w:val="Normal"/>
        <w:tabs>
          <w:tab w:val="clear" w:pos="709"/>
          <w:tab w:val="left" w:pos="0" w:leader="none"/>
        </w:tabs>
        <w:rPr>
          <w:szCs w:val="24"/>
        </w:rPr>
      </w:pPr>
      <w:r>
        <w:rPr>
          <w:szCs w:val="24"/>
        </w:rPr>
        <w:t>Общая проектная производительность Кос канализации с. Чугуевка, с. Новочугуевка неизвестна. Резерв производственных мощностей водоочистных сооружений имеется.</w:t>
      </w:r>
    </w:p>
    <w:p>
      <w:pPr>
        <w:pStyle w:val="Normal"/>
        <w:tabs>
          <w:tab w:val="clear" w:pos="709"/>
          <w:tab w:val="left" w:pos="0" w:leader="none"/>
        </w:tabs>
        <w:rPr>
          <w:szCs w:val="24"/>
        </w:rPr>
      </w:pPr>
      <w:r>
        <w:rPr>
          <w:szCs w:val="24"/>
        </w:rPr>
        <w:t>Аэротэнки, иловыс площадки - в удовлетворительном состоянии.</w:t>
      </w:r>
    </w:p>
    <w:p>
      <w:pPr>
        <w:pStyle w:val="Normal"/>
        <w:tabs>
          <w:tab w:val="clear" w:pos="709"/>
          <w:tab w:val="left" w:pos="0" w:leader="none"/>
        </w:tabs>
        <w:rPr>
          <w:i/>
          <w:i/>
          <w:szCs w:val="24"/>
          <w:u w:val="single"/>
        </w:rPr>
      </w:pPr>
      <w:r>
        <w:rPr>
          <w:i/>
          <w:szCs w:val="24"/>
          <w:u w:val="single"/>
        </w:rPr>
        <w:t>Канализационная насосная станция</w:t>
      </w:r>
    </w:p>
    <w:p>
      <w:pPr>
        <w:pStyle w:val="Normal"/>
        <w:tabs>
          <w:tab w:val="clear" w:pos="709"/>
          <w:tab w:val="left" w:pos="0" w:leader="none"/>
        </w:tabs>
        <w:rPr>
          <w:szCs w:val="24"/>
        </w:rPr>
      </w:pPr>
      <w:r>
        <w:rPr>
          <w:szCs w:val="24"/>
        </w:rPr>
        <w:t>Сточные воды с канализованных территорий собираются по системе трубопроволов в центральный коллектор и самотеком поступают в приемный резервуар КНС. В с. Чугуевка 3 КНС. Дале стчные воды по напорному трубопроводу поступает на очистные сооружения.</w:t>
      </w:r>
    </w:p>
    <w:p>
      <w:pPr>
        <w:pStyle w:val="Normal"/>
        <w:tabs>
          <w:tab w:val="clear" w:pos="709"/>
          <w:tab w:val="left" w:pos="0" w:leader="none"/>
        </w:tabs>
        <w:rPr>
          <w:szCs w:val="24"/>
        </w:rPr>
      </w:pPr>
      <w:r>
        <w:rPr>
          <w:szCs w:val="24"/>
        </w:rPr>
        <w:t>Очистка стоков — биологическая.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24" w:name="_Toc107492646"/>
      <w:r>
        <w:rPr/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24"/>
    </w:p>
    <w:p>
      <w:pPr>
        <w:pStyle w:val="Normal"/>
        <w:spacing w:before="0" w:after="0"/>
        <w:rPr>
          <w:szCs w:val="24"/>
        </w:rPr>
      </w:pPr>
      <w:r>
        <w:rPr>
          <w:szCs w:val="24"/>
        </w:rPr>
        <w:t>Система бытовой канализации - самотечно-напорная. По самотечным трубопроводам канализации сточные воды отводятся на канализационную насосную станцию – КНС, затем сточные воды по напорному коллектору отводятся на ОС.</w:t>
      </w:r>
    </w:p>
    <w:p>
      <w:pPr>
        <w:pStyle w:val="Style58"/>
        <w:ind w:left="57" w:firstLine="510"/>
        <w:rPr>
          <w:sz w:val="24"/>
          <w:szCs w:val="24"/>
        </w:rPr>
      </w:pPr>
      <w:r>
        <w:rPr>
          <w:sz w:val="24"/>
          <w:szCs w:val="24"/>
        </w:rPr>
        <w:t>Характеристика существующих канализационных насосных станций,</w:t>
      </w:r>
      <w:r>
        <w:rPr/>
        <w:t xml:space="preserve"> </w:t>
      </w:r>
      <w:r>
        <w:rPr>
          <w:sz w:val="24"/>
          <w:szCs w:val="24"/>
        </w:rPr>
        <w:t>насосного оборудования КНС предоставлена в таблице 2.2.1.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Таблица </w:t>
      </w:r>
      <w:r>
        <w:rPr/>
        <w:t>2.</w:t>
      </w:r>
      <w:r>
        <w:rPr>
          <w:szCs w:val="24"/>
        </w:rPr>
        <w:t>2.1</w:t>
      </w:r>
    </w:p>
    <w:tbl>
      <w:tblPr>
        <w:tblStyle w:val="ae"/>
        <w:tblW w:w="97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96"/>
        <w:gridCol w:w="2883"/>
        <w:gridCol w:w="2069"/>
        <w:gridCol w:w="2166"/>
      </w:tblGrid>
      <w:tr>
        <w:trPr>
          <w:trHeight w:val="278" w:hRule="atLeast"/>
        </w:trPr>
        <w:tc>
          <w:tcPr>
            <w:tcW w:w="25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lang w:val="ru-RU" w:bidi="ar-SA"/>
              </w:rPr>
              <w:t>Место расположения КНС</w:t>
            </w:r>
          </w:p>
        </w:tc>
        <w:tc>
          <w:tcPr>
            <w:tcW w:w="28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lang w:val="ru-RU" w:bidi="ar-SA"/>
              </w:rPr>
              <w:t>Год ввода в эксплуатацию</w:t>
            </w:r>
          </w:p>
        </w:tc>
        <w:tc>
          <w:tcPr>
            <w:tcW w:w="20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lang w:val="ru-RU" w:bidi="ar-SA"/>
              </w:rPr>
              <w:t>Количество, ед</w:t>
            </w:r>
          </w:p>
        </w:tc>
        <w:tc>
          <w:tcPr>
            <w:tcW w:w="21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lang w:val="ru-RU" w:bidi="ar-SA"/>
              </w:rPr>
              <w:t>Производительность, тыс.куб.м/сут</w:t>
            </w:r>
          </w:p>
        </w:tc>
      </w:tr>
      <w:tr>
        <w:trPr>
          <w:trHeight w:val="278" w:hRule="atLeast"/>
        </w:trPr>
        <w:tc>
          <w:tcPr>
            <w:tcW w:w="259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КНС - 1, с. Чугуевка</w:t>
            </w:r>
          </w:p>
        </w:tc>
        <w:tc>
          <w:tcPr>
            <w:tcW w:w="28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н/д</w:t>
            </w:r>
          </w:p>
        </w:tc>
        <w:tc>
          <w:tcPr>
            <w:tcW w:w="20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1</w:t>
            </w:r>
          </w:p>
        </w:tc>
        <w:tc>
          <w:tcPr>
            <w:tcW w:w="21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н/д</w:t>
            </w:r>
          </w:p>
        </w:tc>
      </w:tr>
      <w:tr>
        <w:trPr>
          <w:trHeight w:val="278" w:hRule="atLeast"/>
        </w:trPr>
        <w:tc>
          <w:tcPr>
            <w:tcW w:w="259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КНС - 2, с. Чугуевка</w:t>
            </w:r>
          </w:p>
        </w:tc>
        <w:tc>
          <w:tcPr>
            <w:tcW w:w="28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н/д</w:t>
            </w:r>
          </w:p>
        </w:tc>
        <w:tc>
          <w:tcPr>
            <w:tcW w:w="20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1</w:t>
            </w:r>
          </w:p>
        </w:tc>
        <w:tc>
          <w:tcPr>
            <w:tcW w:w="21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н/д</w:t>
            </w:r>
          </w:p>
        </w:tc>
      </w:tr>
      <w:tr>
        <w:trPr>
          <w:trHeight w:val="278" w:hRule="atLeast"/>
        </w:trPr>
        <w:tc>
          <w:tcPr>
            <w:tcW w:w="259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КНС - 3, с. Чугуевка</w:t>
            </w:r>
          </w:p>
        </w:tc>
        <w:tc>
          <w:tcPr>
            <w:tcW w:w="28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н/д</w:t>
            </w:r>
          </w:p>
        </w:tc>
        <w:tc>
          <w:tcPr>
            <w:tcW w:w="20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1</w:t>
            </w:r>
          </w:p>
        </w:tc>
        <w:tc>
          <w:tcPr>
            <w:tcW w:w="21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н/д</w:t>
            </w:r>
          </w:p>
        </w:tc>
      </w:tr>
      <w:tr>
        <w:trPr>
          <w:trHeight w:val="278" w:hRule="atLeast"/>
        </w:trPr>
        <w:tc>
          <w:tcPr>
            <w:tcW w:w="259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КНС, с. Новочугуевка</w:t>
            </w:r>
          </w:p>
        </w:tc>
        <w:tc>
          <w:tcPr>
            <w:tcW w:w="28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н/д</w:t>
            </w:r>
          </w:p>
        </w:tc>
        <w:tc>
          <w:tcPr>
            <w:tcW w:w="20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1</w:t>
            </w:r>
          </w:p>
        </w:tc>
        <w:tc>
          <w:tcPr>
            <w:tcW w:w="21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lang w:val="ru-RU" w:bidi="ar-SA"/>
              </w:rPr>
              <w:t>н/д</w:t>
            </w:r>
          </w:p>
        </w:tc>
      </w:tr>
    </w:tbl>
    <w:p>
      <w:pPr>
        <w:pStyle w:val="Style58"/>
        <w:ind w:left="57" w:firstLine="510"/>
        <w:rPr/>
      </w:pPr>
      <w:r>
        <w:rPr/>
      </w:r>
    </w:p>
    <w:p>
      <w:pPr>
        <w:pStyle w:val="Normal"/>
        <w:spacing w:before="120" w:after="200"/>
        <w:rPr/>
      </w:pPr>
      <w:r>
        <w:rPr/>
        <w:t>Функционирование и эксплуатация канализационных сетей систем централизованного водоотведения осуществляется на основании «Правил технической эксплуатации систем исооружений коммунального водоснабжения и канализации», утвержденных приказом Госстроя РФ №168 от 30.12.1999г.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25" w:name="_Toc107492647"/>
      <w:r>
        <w:rPr/>
        <w:t>Оценка безопасности и надежности объектов централизованной системы водоотведения и их управляемости</w:t>
      </w:r>
      <w:bookmarkEnd w:id="125"/>
    </w:p>
    <w:p>
      <w:pPr>
        <w:pStyle w:val="Normal"/>
        <w:spacing w:before="0" w:after="120"/>
        <w:rPr/>
      </w:pPr>
      <w:r>
        <w:rPr/>
        <w:t>Централизованная система водоотведения представляет собой сложную систему инженерных сооружений, надежная и эффективная работа которых является одной из важнейших составляющих благополучия поселения. По системе, состоящей из трубопроводов, каналов, коллекторов отводятся на очистку хозяйственно-бытовые сточные воды, образующиеся на территории с. Чугуевка, с. Новочугуевка.</w:t>
      </w:r>
    </w:p>
    <w:p>
      <w:pPr>
        <w:pStyle w:val="Normal"/>
        <w:spacing w:before="0" w:after="120"/>
        <w:rPr/>
      </w:pPr>
      <w:r>
        <w:rPr/>
        <w:t>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 являются,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канализационных сетей и очистных сооружений. Поэтому особое внимание необходимо уделить их реконструкции и модернизации. Наиболее экономичным решением является применение бестраншейных методов ремонта и восстановления трубопроводов. Освоен новый метод ремонта трубопроводов большого диаметра «труба в трубе», позволяющий вернуть в эксплуатацию потерявшие работоспособность трубопроводы, обеспечить им стабильную пропускную способность на длительный срок (50 лет и более). Для вновь прокладываемых участков канализационных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</w:t>
      </w:r>
    </w:p>
    <w:p>
      <w:pPr>
        <w:pStyle w:val="Normal"/>
        <w:spacing w:before="0" w:after="120"/>
        <w:rPr/>
      </w:pPr>
      <w:r>
        <w:rPr/>
        <w:t>При эксплуатации очистных сооружений канализации наиболее чувствительными к различным дестабилизирующим факторам являются сооружения биологической очистки.  Основные причины, приводящие к нарушению биохимических процессов при эксплуатации канализационных очистных сооружений: перебои в энергоснабжении; поступление токсичных веществ, ингибирующих процесс биологической очистки. Опыт эксплуатации сооружений в различных условиях позволяет оценить воздействие вышеперечисленных факторов и принять меры, обеспечивающие надежность работы очистных сооружений. Важным способом повышения надежности очистных сооружений (особенно в условиях экономии энергоресурсов) является внедрение автоматического регулирования технологического процесса.</w:t>
      </w:r>
    </w:p>
    <w:p>
      <w:pPr>
        <w:pStyle w:val="Normal"/>
        <w:spacing w:before="0" w:after="120"/>
        <w:rPr/>
      </w:pPr>
      <w:r>
        <w:rPr/>
        <w:t>Реализуя комплекс мероприятий, направленных на повышение надежности системы водоотведения, обеспечена устойчивая работа систем канализации поселения.</w:t>
      </w:r>
    </w:p>
    <w:p>
      <w:pPr>
        <w:pStyle w:val="Normal"/>
        <w:spacing w:before="0" w:after="60"/>
        <w:ind w:left="567" w:hanging="0"/>
        <w:rPr/>
      </w:pPr>
      <w:r>
        <w:rPr/>
        <w:t>Безопасность и надежность очистных сооружений обеспечивается:</w:t>
      </w:r>
    </w:p>
    <w:p>
      <w:pPr>
        <w:pStyle w:val="Normal"/>
        <w:numPr>
          <w:ilvl w:val="0"/>
          <w:numId w:val="9"/>
        </w:numPr>
        <w:spacing w:before="0" w:after="0"/>
        <w:ind w:left="851" w:hanging="284"/>
        <w:rPr/>
      </w:pPr>
      <w:r>
        <w:rPr/>
        <w:t>строгим соблюдением технологических регламентов;</w:t>
      </w:r>
    </w:p>
    <w:p>
      <w:pPr>
        <w:pStyle w:val="Normal"/>
        <w:numPr>
          <w:ilvl w:val="0"/>
          <w:numId w:val="9"/>
        </w:numPr>
        <w:spacing w:before="0" w:after="0"/>
        <w:ind w:left="851" w:hanging="284"/>
        <w:rPr/>
      </w:pPr>
      <w:r>
        <w:rPr/>
        <w:t>регулярным обучением и повышением квалификации работников;</w:t>
      </w:r>
    </w:p>
    <w:p>
      <w:pPr>
        <w:pStyle w:val="Normal"/>
        <w:numPr>
          <w:ilvl w:val="0"/>
          <w:numId w:val="9"/>
        </w:numPr>
        <w:spacing w:before="0" w:after="0"/>
        <w:ind w:left="851" w:hanging="284"/>
        <w:rPr/>
      </w:pPr>
      <w:r>
        <w:rPr/>
        <w:t>контролем за ходом технологического процесса;</w:t>
      </w:r>
    </w:p>
    <w:p>
      <w:pPr>
        <w:pStyle w:val="Normal"/>
        <w:numPr>
          <w:ilvl w:val="0"/>
          <w:numId w:val="9"/>
        </w:numPr>
        <w:spacing w:before="0" w:after="0"/>
        <w:ind w:left="851" w:hanging="284"/>
        <w:rPr/>
      </w:pPr>
      <w:r>
        <w:rPr/>
        <w:t>регулярным мониторингом состояния вод, сбрасываемых в водоемы, с целью недопущенияотклонений от установленных параметров;</w:t>
      </w:r>
    </w:p>
    <w:p>
      <w:pPr>
        <w:pStyle w:val="Normal"/>
        <w:numPr>
          <w:ilvl w:val="0"/>
          <w:numId w:val="9"/>
        </w:numPr>
        <w:spacing w:before="0" w:after="0"/>
        <w:ind w:left="851" w:hanging="284"/>
        <w:rPr/>
      </w:pPr>
      <w:r>
        <w:rPr/>
        <w:t>регулярным мониторингом существующих технологий очистки сточных вод;</w:t>
      </w:r>
    </w:p>
    <w:p>
      <w:pPr>
        <w:pStyle w:val="Normal"/>
        <w:numPr>
          <w:ilvl w:val="0"/>
          <w:numId w:val="9"/>
        </w:numPr>
        <w:spacing w:before="0" w:after="120"/>
        <w:ind w:left="851" w:hanging="284"/>
        <w:rPr/>
      </w:pPr>
      <w:r>
        <w:rPr/>
        <w:t>внедрением рационализаторских и инновационных предложений в части повышенияэффективности очистки сточных вод, использования высушенного осадка сточных вод.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26" w:name="_Toc107492648"/>
      <w:r>
        <w:rPr/>
        <w:t>Оценка воздействия сбросов сточных вод через централизованную систему водоотведения на окружающую среду</w:t>
      </w:r>
      <w:bookmarkEnd w:id="126"/>
    </w:p>
    <w:p>
      <w:pPr>
        <w:pStyle w:val="Normal"/>
        <w:spacing w:before="0" w:after="120"/>
        <w:rPr/>
      </w:pPr>
      <w:r>
        <w:rPr/>
        <w:t xml:space="preserve">На момент разработки настоящей схемы система бытовой канализации организована только в с. Чугуевка, с. Новочугуевка. В остальных населенных пунктах существующий жилой фонд не обеспечен внутренними системами канализации. Поэтому преобладающее место в системе канализации отведено выгребным ямами септикам. </w:t>
      </w:r>
    </w:p>
    <w:p>
      <w:pPr>
        <w:pStyle w:val="Normal"/>
        <w:spacing w:before="0" w:after="0"/>
        <w:rPr/>
      </w:pPr>
      <w:r>
        <w:rPr/>
        <w:t>Сброс неочищенных сточных вод на рельеф и в водные объекты оказывает негативное воздействие на окружающую среду, на физические и химические свойства воды на водосборных площадях, увеличивается содержание вредных веществ органического и неорганического происхождения, токсичных веществ, болезнетворных бактерий и тяжелых металлов, а также является фактором возникновения риска заболеваемости населения.</w:t>
      </w:r>
    </w:p>
    <w:p>
      <w:pPr>
        <w:pStyle w:val="Normal"/>
        <w:spacing w:before="0" w:after="120"/>
        <w:rPr/>
      </w:pPr>
      <w:r>
        <w:rPr/>
        <w:t>Сброс неочищенных стоков наносит вред животному и растительному миру и приводит к одному из наиболее опасных видов деградации водосборных площадей.</w:t>
      </w:r>
    </w:p>
    <w:p>
      <w:pPr>
        <w:pStyle w:val="Normal"/>
        <w:spacing w:before="0" w:after="0"/>
        <w:rPr/>
      </w:pPr>
      <w:r>
        <w:rPr/>
        <w:t xml:space="preserve">Значительные территории Чугуевского муниципального округа не имеют централизованной системы водоотведения хозяйственно - бытовых стоков, системы ливневой канализации, поэтому применяются выгребные ямы и септики. В связи с этим, возможно загрязнение поверхностных и подземных вод, почв, нет возможности организовать учет количества стоков. </w:t>
      </w:r>
    </w:p>
    <w:p>
      <w:pPr>
        <w:pStyle w:val="Normal"/>
        <w:rPr/>
      </w:pPr>
      <w:r>
        <w:rPr/>
        <w:t>На территории с. Чугуевка, с. Новочугуевка имеются очистные сооружения канализации. На очистных сооружениях происходит полная биологическая очистка бытовых сточных вод, сточные воды подвергаются глубокой очистке от растворимых соединений и патогенных микроорганизмов, и последующий сброс в ручей, на рельеф местности, согласно норм предельно-допустимой концентрации.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27" w:name="_Toc107492649"/>
      <w:bookmarkStart w:id="128" w:name="_Toc375685105"/>
      <w:bookmarkStart w:id="129" w:name="_Toc375684077"/>
      <w:bookmarkStart w:id="130" w:name="_Toc375649253"/>
      <w:bookmarkEnd w:id="128"/>
      <w:bookmarkEnd w:id="129"/>
      <w:bookmarkEnd w:id="130"/>
      <w:r>
        <w:rPr/>
        <w:t>Описание территорий Чугуевского муниципального округа, не охваченных централизованной системой водоотведения</w:t>
      </w:r>
      <w:bookmarkEnd w:id="127"/>
    </w:p>
    <w:p>
      <w:pPr>
        <w:pStyle w:val="Normal"/>
        <w:rPr>
          <w:spacing w:val="2"/>
          <w:szCs w:val="24"/>
        </w:rPr>
      </w:pPr>
      <w:r>
        <w:rPr/>
        <w:t>На момент разработки настоящей схемы централизованная система водоотведения на территории Чугуевского муниципального округа организована только в с. Чугуевка, с. Новочугуевка. В остальных населенных пунктах система водоотведения представлена выгребными ямами и септиками</w:t>
      </w:r>
      <w:r>
        <w:rPr>
          <w:spacing w:val="2"/>
          <w:szCs w:val="24"/>
        </w:rPr>
        <w:t>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31" w:name="_Toc107492650"/>
      <w:r>
        <w:rPr/>
        <w:t>Описание существующих технических и технологических проблем системы водоотведения поселения</w:t>
      </w:r>
      <w:bookmarkEnd w:id="131"/>
    </w:p>
    <w:p>
      <w:pPr>
        <w:pStyle w:val="Normal"/>
        <w:spacing w:before="0" w:after="60"/>
        <w:rPr/>
      </w:pPr>
      <w:r>
        <w:rPr/>
        <w:t>На момент разработки настоящей схемы централизованная система водоотведения на территории Чугуевского муниципального округа организована только в с. Чугуевка, с. Новочугуевка. В остальных населенных пунктах система водоотведения представлена выгребными ямами и септиками.</w:t>
      </w:r>
    </w:p>
    <w:p>
      <w:pPr>
        <w:pStyle w:val="Normal"/>
        <w:spacing w:before="0" w:after="60"/>
        <w:rPr/>
      </w:pPr>
      <w:r>
        <w:rPr/>
        <w:t xml:space="preserve">Существующие технические и технологические проблемы водоотведения: </w:t>
      </w:r>
    </w:p>
    <w:p>
      <w:pPr>
        <w:pStyle w:val="Normal"/>
        <w:spacing w:before="0" w:after="60"/>
        <w:rPr/>
      </w:pPr>
      <w:r>
        <w:rPr/>
        <w:t>-</w:t>
        <w:tab/>
        <w:t xml:space="preserve">небольшой процент населения, обеспеченного системой централизованной канализации; </w:t>
      </w:r>
    </w:p>
    <w:p>
      <w:pPr>
        <w:pStyle w:val="Normal"/>
        <w:spacing w:before="0" w:after="60"/>
        <w:rPr/>
      </w:pPr>
      <w:r>
        <w:rPr/>
        <w:t>-</w:t>
        <w:tab/>
        <w:t xml:space="preserve">высокий износ сетей водоотведения на территории с. Чугуевка, с. Новочугуевка; </w:t>
      </w:r>
    </w:p>
    <w:p>
      <w:pPr>
        <w:pStyle w:val="Normal"/>
        <w:spacing w:before="0" w:after="60"/>
        <w:rPr/>
      </w:pPr>
      <w:r>
        <w:rPr/>
        <w:t>-</w:t>
        <w:tab/>
        <w:t xml:space="preserve">неконтролируемый сброс в водные источники неочищенных дождевых и талых вод, в связи с отсутствием во многих населенных пунктах централизованной системы дождевой канализации и очистных сооружений поверхностного стока; </w:t>
      </w:r>
    </w:p>
    <w:p>
      <w:pPr>
        <w:pStyle w:val="Normal"/>
        <w:spacing w:before="0" w:after="60"/>
        <w:rPr/>
      </w:pPr>
      <w:r>
        <w:rPr/>
        <w:t>-</w:t>
        <w:tab/>
        <w:t xml:space="preserve">отсутствие данных лабораторных анализов качества очистки сточных вод; </w:t>
      </w:r>
    </w:p>
    <w:p>
      <w:pPr>
        <w:pStyle w:val="Normal"/>
        <w:spacing w:before="0" w:after="60"/>
        <w:rPr/>
      </w:pPr>
      <w:r>
        <w:rPr/>
        <w:t>-</w:t>
        <w:tab/>
        <w:t>неудовлетворительное техническое состояние очистных сооружений хозяйственно-бытовой канализации.</w:t>
      </w:r>
    </w:p>
    <w:p>
      <w:pPr>
        <w:pStyle w:val="2"/>
        <w:numPr>
          <w:ilvl w:val="2"/>
          <w:numId w:val="33"/>
        </w:numPr>
        <w:rPr>
          <w:rFonts w:eastAsia="TimesNewRomanPS-BoldMT"/>
        </w:rPr>
      </w:pPr>
      <w:bookmarkStart w:id="132" w:name="_Toc107492651"/>
      <w:r>
        <w:rPr/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132"/>
    </w:p>
    <w:p>
      <w:pPr>
        <w:pStyle w:val="Normal"/>
        <w:spacing w:before="0" w:after="60"/>
        <w:rPr/>
      </w:pPr>
      <w:r>
        <w:rPr/>
        <w:t>На момент разработки настоящей схемы централизованная система водоотведения на территории Чугуевского муниципального округа относится к централизованным системам водоотведения поселений или городских округов, установленных требованием постановления Правительства РФ от 31.05.2019 г. №691.</w:t>
      </w:r>
    </w:p>
    <w:p>
      <w:pPr>
        <w:pStyle w:val="2"/>
        <w:numPr>
          <w:ilvl w:val="3"/>
          <w:numId w:val="79"/>
        </w:numPr>
        <w:rPr>
          <w:rFonts w:eastAsia="TimesNewRomanPS-BoldMT"/>
        </w:rPr>
      </w:pPr>
      <w:bookmarkStart w:id="133" w:name="_Toc107492652"/>
      <w:r>
        <w:rPr/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</w:t>
      </w:r>
      <w:bookmarkEnd w:id="133"/>
    </w:p>
    <w:p>
      <w:pPr>
        <w:pStyle w:val="Normal"/>
        <w:spacing w:before="0" w:after="0"/>
        <w:rPr/>
      </w:pPr>
      <w:r>
        <w:rPr/>
        <w:t xml:space="preserve">Согласно пункта 4 постановления Правительства РФ от 31.05.2019 г. №691 «Об утверждении Правил отнесения централизованных систем водоотведения (канализации) к централизованным системам водоотведения поселений или городских округов» централизованная система водоотведения (канализации) подлежит отнесению к централизованным системам водоотведения поселений или городских округов при соблюдении совокупности следующих критериев: </w:t>
      </w:r>
    </w:p>
    <w:p>
      <w:pPr>
        <w:pStyle w:val="Normal"/>
        <w:rPr/>
      </w:pPr>
      <w:r>
        <w:rPr/>
        <w:t xml:space="preserve">а) объем сточных вод, принятых в централизованную систему водоотведения (канализации), составляет более 50 процентов общего объема сточных вод, принятых в такую централизованную систему водоотведения (канализации); </w:t>
      </w:r>
    </w:p>
    <w:p>
      <w:pPr>
        <w:pStyle w:val="Normal"/>
        <w:rPr/>
      </w:pPr>
      <w:r>
        <w:rPr/>
        <w:t xml:space="preserve">б) одним из видов экономической деятельности, определяемых в соответствии с Общероссийским классификатором видов экономической деятельности, организации, является деятельность по сбору и обработке сточных вод. </w:t>
      </w:r>
    </w:p>
    <w:p>
      <w:pPr>
        <w:pStyle w:val="Normal"/>
        <w:spacing w:before="0" w:after="0"/>
        <w:rPr/>
      </w:pPr>
      <w:r>
        <w:rPr/>
        <w:t>На основании вышеизложенных критериев централизованная система водоотведения Чугуевского муниципального округа, эксплуатируемая ООО «Водолей» относится к централизованным системам водоотведения поселений или городских округов, установленных требованием постановления Правительства РФ от 31.05.2019 г. №691.</w:t>
      </w:r>
    </w:p>
    <w:p>
      <w:pPr>
        <w:pStyle w:val="Normal"/>
        <w:spacing w:before="0" w:after="0"/>
        <w:rPr/>
      </w:pPr>
      <w:r>
        <w:rPr/>
        <w:t>Сточные воды, централизованной системы водоотведения Чугуевского муниципального округа отводятся через очистные сооружения ООО «Водолей». Информация о мощности очистных сооружений и применяемых на них технологиях очистки сточных вод представлена в разделе 2.1.2 Схемы водоотведения.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60"/>
        <w:rPr>
          <w:rFonts w:eastAsia="TimesNewRomanPS-BoldMT"/>
          <w:b/>
          <w:b/>
          <w:bCs/>
          <w:szCs w:val="26"/>
        </w:rPr>
      </w:pPr>
      <w:r>
        <w:rPr>
          <w:rFonts w:eastAsia="TimesNewRomanPS-BoldMT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134" w:name="_Toc107492653"/>
      <w:r>
        <w:rPr>
          <w:rFonts w:eastAsia="TimesNewRomanPS-BoldMT"/>
        </w:rPr>
        <w:t>БАЛАНСЫ СТОЧНЫХ ВОД В СИСТЕМЕ ВОДООТВЕДЕНИЯ</w:t>
      </w:r>
      <w:bookmarkEnd w:id="134"/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35" w:name="_Toc107492654"/>
      <w:r>
        <w:rPr>
          <w:rFonts w:eastAsia="TimesNewRomanPS-BoldMT"/>
          <w:iCs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35"/>
    </w:p>
    <w:p>
      <w:pPr>
        <w:pStyle w:val="Normal"/>
        <w:rPr>
          <w:lang w:eastAsia="ru-RU"/>
        </w:rPr>
      </w:pPr>
      <w:r>
        <w:rPr>
          <w:lang w:eastAsia="ru-RU"/>
        </w:rPr>
        <w:t xml:space="preserve">На территории </w:t>
      </w:r>
      <w:r>
        <w:rPr>
          <w:szCs w:val="24"/>
          <w:shd w:fill="FFFFFF" w:val="clear"/>
        </w:rPr>
        <w:t>Чугуевского муниципального округа</w:t>
      </w:r>
      <w:r>
        <w:rPr>
          <w:lang w:eastAsia="ru-RU"/>
        </w:rPr>
        <w:t xml:space="preserve"> определена 1 технологическая зона централизованного водоотведения.</w:t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Баланс поступления сточных вод в систему централизованного водоотведения с. Чугуевка, с. Новочугуевка за 2021 г., составленный на основании предоставленных отчетных данных, представлен в таб. </w:t>
      </w:r>
      <w:r>
        <w:rPr>
          <w:szCs w:val="24"/>
        </w:rPr>
        <w:t>2.</w:t>
      </w:r>
      <w:r>
        <w:rPr>
          <w:lang w:eastAsia="ru-RU"/>
        </w:rPr>
        <w:t>3.1.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  <w:t xml:space="preserve">Таблица </w:t>
      </w:r>
      <w:r>
        <w:rPr>
          <w:szCs w:val="24"/>
        </w:rPr>
        <w:t>2.</w:t>
      </w:r>
      <w:r>
        <w:rPr>
          <w:lang w:eastAsia="ru-RU"/>
        </w:rPr>
        <w:t>3.1</w:t>
      </w:r>
    </w:p>
    <w:p>
      <w:pPr>
        <w:pStyle w:val="Normal"/>
        <w:ind w:hanging="0"/>
        <w:jc w:val="center"/>
        <w:rPr>
          <w:szCs w:val="24"/>
          <w:u w:val="single"/>
          <w:lang w:eastAsia="ru-RU"/>
        </w:rPr>
      </w:pPr>
      <w:r>
        <w:rPr>
          <w:u w:val="single"/>
          <w:lang w:eastAsia="ru-RU"/>
        </w:rPr>
        <w:t>Баланс поступления сточных вод в систему централизованного водоотведения</w:t>
      </w:r>
    </w:p>
    <w:tbl>
      <w:tblPr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387"/>
        <w:gridCol w:w="1276"/>
        <w:gridCol w:w="2693"/>
      </w:tblGrid>
      <w:tr>
        <w:trPr>
          <w:tblHeader w:val="true"/>
          <w:trHeight w:val="70" w:hRule="atLeast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сточных вод</w:t>
            </w:r>
          </w:p>
        </w:tc>
      </w:tr>
      <w:tr>
        <w:trPr>
          <w:tblHeader w:val="true"/>
          <w:trHeight w:val="70" w:hRule="atLeast"/>
        </w:trPr>
        <w:tc>
          <w:tcPr>
            <w:tcW w:w="5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</w:t>
            </w:r>
          </w:p>
        </w:tc>
      </w:tr>
      <w:tr>
        <w:trPr>
          <w:trHeight w:val="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Пропущено сточных вод, 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>
          <w:trHeight w:val="20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</w:tc>
      </w:tr>
      <w:tr>
        <w:trPr>
          <w:trHeight w:val="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- население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>
          <w:trHeight w:val="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- бюджетные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>
          <w:trHeight w:val="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- прочие потребители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>
          <w:trHeight w:val="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Пропущено через очистные сооружения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>
          <w:trHeight w:val="77" w:hRule="atLeas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</w:tc>
      </w:tr>
      <w:tr>
        <w:trPr>
          <w:trHeight w:val="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- полная биологическая очистка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>
          <w:trHeight w:val="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- из нее с доочисткой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- нормативно очищенной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- недостаточно очищенной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>
      <w:pPr>
        <w:pStyle w:val="Normal"/>
        <w:spacing w:before="120" w:after="120"/>
        <w:rPr/>
      </w:pPr>
      <w:r>
        <w:rPr/>
        <w:t>Информация по балансу поступления сточных вод в централизованную систему водоотведения и отведения стоков по технологическим зонам:</w:t>
      </w:r>
    </w:p>
    <w:p>
      <w:pPr>
        <w:pStyle w:val="Normal"/>
        <w:jc w:val="right"/>
        <w:rPr/>
      </w:pPr>
      <w:r>
        <w:rPr/>
        <w:t xml:space="preserve">Таблица </w:t>
      </w:r>
      <w:r>
        <w:rPr>
          <w:szCs w:val="24"/>
        </w:rPr>
        <w:t>2.</w:t>
      </w:r>
      <w:r>
        <w:rPr/>
        <w:t>3.2</w:t>
      </w:r>
    </w:p>
    <w:p>
      <w:pPr>
        <w:pStyle w:val="Normal"/>
        <w:ind w:hanging="0"/>
        <w:jc w:val="center"/>
        <w:rPr>
          <w:u w:val="single"/>
        </w:rPr>
      </w:pPr>
      <w:r>
        <w:rPr>
          <w:u w:val="single"/>
        </w:rPr>
        <w:t>Баланс поступления сточных вод в централизованную систему водоотведения и отведения стоков по технологическим зонам</w:t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HBand="0" w:noVBand="0" w:firstColumn="1" w:lastRow="1" w:lastColumn="1" w:firstRow="1"/>
      </w:tblPr>
      <w:tblGrid>
        <w:gridCol w:w="810"/>
        <w:gridCol w:w="3067"/>
        <w:gridCol w:w="3009"/>
        <w:gridCol w:w="3011"/>
      </w:tblGrid>
      <w:tr>
        <w:trPr/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Водоотведение за 2021 год от всех абонентов</w:t>
            </w:r>
          </w:p>
        </w:tc>
      </w:tr>
      <w:tr>
        <w:trPr/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</w:r>
          </w:p>
        </w:tc>
        <w:tc>
          <w:tcPr>
            <w:tcW w:w="3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/сут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Тыс.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/год</w:t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Чугуевка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с. Новочугуевка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>
      <w:pPr>
        <w:pStyle w:val="Normal"/>
        <w:spacing w:before="0" w:after="120"/>
        <w:rPr/>
      </w:pPr>
      <w:r>
        <w:rPr/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36" w:name="_Toc107492655"/>
      <w:bookmarkStart w:id="137" w:name="_Toc375685111"/>
      <w:bookmarkStart w:id="138" w:name="_Toc375684083"/>
      <w:bookmarkStart w:id="139" w:name="_Toc375649259"/>
      <w:bookmarkEnd w:id="137"/>
      <w:bookmarkEnd w:id="138"/>
      <w:bookmarkEnd w:id="139"/>
      <w:r>
        <w:rPr/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36"/>
    </w:p>
    <w:p>
      <w:pPr>
        <w:pStyle w:val="Normal"/>
        <w:rPr/>
      </w:pPr>
      <w:r>
        <w:rPr/>
        <w:t xml:space="preserve">На территории Чугуевского муниципального округа отсутствуют системы дождевой канализации в </w:t>
      </w:r>
      <w:r>
        <w:rPr>
          <w:lang w:eastAsia="ru-RU"/>
        </w:rPr>
        <w:t>с. Чугуевка, с. Новочугуевка</w:t>
      </w:r>
      <w:r>
        <w:rPr/>
        <w:t>.</w:t>
      </w:r>
    </w:p>
    <w:p>
      <w:pPr>
        <w:pStyle w:val="Normal"/>
        <w:rPr/>
      </w:pPr>
      <w:r>
        <w:rPr/>
        <w:t>В микрорайонах водоотвод должен осуществляться методом вертикальной планировки, обеспечивающей сток продольными и поперечными уклонами на всех проездах и площадках.</w:t>
      </w:r>
    </w:p>
    <w:p>
      <w:pPr>
        <w:pStyle w:val="Normal"/>
        <w:rPr/>
      </w:pPr>
      <w:r>
        <w:rPr/>
        <w:t xml:space="preserve">Водостоки должны быть расчищены, в местах пересечений водостоков с проездами должны быть устроены водопропускные трубы или мостики. Перед выпуском поверхностные стоки с застроенных территорий должны очищаться на локальных очистных сооружениях открытого или закрытого типа. Производственные предприятия должны производить очистку поверхностного стока со своих участков на собственных очистных сооружениях (с учетом специфики загрязнения) и использовать часть очищенного стока в оборотном техническом водоснабжении. Открытые водостоки, кроме отвода дождевых и талых вод, будут способствовать понижению уровня грунтовых вод, что особенно важно на участках индивидуальной застройки. Капитальные здания с подвальными помещениями, строящиеся на участках с высоким уровнем стояния грунтовых вод, должны быть оборудованы прифундаментным или пластовым дренажом с выпуском дренажных вод в водотоки или канализационные колодцы. </w:t>
      </w:r>
    </w:p>
    <w:p>
      <w:pPr>
        <w:pStyle w:val="Normal"/>
        <w:rPr/>
      </w:pPr>
      <w:r>
        <w:rPr/>
        <w:t>Учет объемов фактического притока неорганизованных стоков не ведется, в связи с этим, отсутствует возможность оценки и анализа объемов неорганизованных стоков</w:t>
      </w:r>
      <w:r>
        <w:rPr>
          <w:rFonts w:eastAsia="Times New Roman"/>
        </w:rPr>
        <w:t>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40" w:name="_Toc107492656"/>
      <w:r>
        <w:rPr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40"/>
    </w:p>
    <w:p>
      <w:pPr>
        <w:pStyle w:val="Style62"/>
        <w:spacing w:lineRule="auto" w:line="240" w:before="0" w:after="120"/>
        <w:rPr>
          <w:rFonts w:ascii="Times New Roman" w:hAnsi="Times New Roman" w:eastAsia="Calibri" w:cs="Times New Roman"/>
          <w:sz w:val="24"/>
          <w:szCs w:val="24"/>
          <w:shd w:fill="FFFFFF" w:val="clear"/>
          <w:lang w:val="ru-RU" w:eastAsia="en-US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  <w:lang w:val="ru-RU" w:eastAsia="en-US"/>
        </w:rPr>
        <w:t>Наибольшую долю существующих стоков составляют стоки от жилого фонда.</w:t>
      </w:r>
    </w:p>
    <w:p>
      <w:pPr>
        <w:pStyle w:val="Style62"/>
        <w:spacing w:lineRule="auto" w:line="240" w:before="0" w:after="120"/>
        <w:rPr>
          <w:rFonts w:ascii="Times New Roman" w:hAnsi="Times New Roman" w:eastAsia="Calibri" w:cs="Times New Roman"/>
          <w:sz w:val="24"/>
          <w:szCs w:val="24"/>
          <w:shd w:fill="FFFFFF" w:val="clear"/>
          <w:lang w:val="ru-RU" w:eastAsia="en-US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  <w:lang w:val="ru-RU" w:eastAsia="en-US"/>
        </w:rPr>
        <w:t>Нормы и объёмы водоотведения:</w:t>
      </w:r>
    </w:p>
    <w:p>
      <w:pPr>
        <w:pStyle w:val="Style62"/>
        <w:spacing w:lineRule="auto" w:line="240" w:before="0" w:after="120"/>
        <w:rPr>
          <w:rFonts w:ascii="Times New Roman" w:hAnsi="Times New Roman" w:eastAsia="Calibri" w:cs="Times New Roman"/>
          <w:sz w:val="24"/>
          <w:szCs w:val="24"/>
          <w:shd w:fill="FFFFFF" w:val="clear"/>
          <w:lang w:val="ru-RU" w:eastAsia="en-US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  <w:lang w:val="ru-RU" w:eastAsia="en-US"/>
        </w:rPr>
        <w:tab/>
        <w:t>В соответствии с Федеральным законом от 7 декабря 2011 г. №416-ФЗ «О Водоснабжении и водоотведении», Постановление Правительства РФ от 4 сентября 2013 г. №776 "Об утверждении Правил организации коммерческого учета воды, сточных вод" (с изменениями и дополнениями) и Постановлением Правительства РФ от 6 мая 2011 г. №354 (ред. от 29.06.2016)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 количество сбрасываемых сточных вод от абонентов определяется по приборам учета. В случае отсутствия у абонента прибора учета сточных вод объем отведенных абонентом сточных вод принимается равным объему воды, поданной этому абоненту из всех источников централизованного водоснабжения, при этом учитывается объем поверхностных сточных вод в случае, если прием таких сточных вод в систему водоотведения предусмотрен договором водоотведения.</w:t>
      </w:r>
    </w:p>
    <w:p>
      <w:pPr>
        <w:pStyle w:val="Style62"/>
        <w:spacing w:lineRule="auto" w:line="240" w:before="0" w:after="120"/>
        <w:rPr>
          <w:rFonts w:ascii="Times New Roman" w:hAnsi="Times New Roman" w:eastAsia="Calibri" w:cs="Times New Roman"/>
          <w:sz w:val="24"/>
          <w:szCs w:val="24"/>
          <w:shd w:fill="FFFFFF" w:val="clear"/>
          <w:lang w:val="ru-RU" w:eastAsia="en-US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  <w:lang w:val="ru-RU" w:eastAsia="en-US"/>
        </w:rPr>
        <w:t>Приборы учета принимаемых сточных вод отсутствуют.</w:t>
      </w:r>
    </w:p>
    <w:p>
      <w:pPr>
        <w:pStyle w:val="Style62"/>
        <w:spacing w:lineRule="auto" w:line="240"/>
        <w:rPr>
          <w:rFonts w:ascii="Times New Roman" w:hAnsi="Times New Roman" w:eastAsia="Calibri" w:cs="Times New Roman"/>
          <w:sz w:val="24"/>
          <w:szCs w:val="24"/>
          <w:shd w:fill="FFFFFF" w:val="clear"/>
          <w:lang w:val="ru-RU" w:eastAsia="en-US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  <w:lang w:val="ru-RU" w:eastAsia="en-US"/>
        </w:rPr>
        <w:t xml:space="preserve">В настоящее время коммерческий учет принимаемых сточных вод от потребителей населенных пунктов </w:t>
      </w:r>
      <w:r>
        <w:rPr>
          <w:rFonts w:cs="Times New Roman" w:ascii="Times New Roman" w:hAnsi="Times New Roman"/>
          <w:sz w:val="24"/>
          <w:szCs w:val="24"/>
        </w:rPr>
        <w:t>Чугуевского муниципального округа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  <w:lang w:val="ru-RU" w:eastAsia="en-US"/>
        </w:rPr>
        <w:t xml:space="preserve"> осуществляется в соответствии с действующим законодательством, количество принятых сточных вод принимается равным количеству потребленной воды. Доля объемов сточных вод, рассчитанная данным способом, составляет 100%. 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41" w:name="_Toc375685114"/>
      <w:bookmarkStart w:id="142" w:name="_Toc375684086"/>
      <w:bookmarkStart w:id="143" w:name="_Toc375685115"/>
      <w:bookmarkStart w:id="144" w:name="_Toc107492657"/>
      <w:bookmarkStart w:id="145" w:name="_Toc375684087"/>
      <w:bookmarkEnd w:id="141"/>
      <w:bookmarkEnd w:id="142"/>
      <w:bookmarkEnd w:id="143"/>
      <w:bookmarkEnd w:id="145"/>
      <w:r>
        <w:rPr/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</w:t>
      </w:r>
      <w:bookmarkEnd w:id="144"/>
    </w:p>
    <w:p>
      <w:pPr>
        <w:pStyle w:val="Normal"/>
        <w:spacing w:before="0" w:after="120"/>
        <w:rPr/>
      </w:pPr>
      <w:r>
        <w:rPr/>
        <w:t>Балансы сточных вод централизованной системы водоотведения Чугуевского муниципального округа в период с 2011 по 2021 год и резервы производственных мощностей систем водоотведения представить невозможно, в связи с отсутствием данных.</w:t>
      </w:r>
    </w:p>
    <w:p>
      <w:pPr>
        <w:pStyle w:val="Normal"/>
        <w:shd w:val="clear" w:color="auto" w:fill="FFFFFF"/>
        <w:spacing w:before="0" w:after="0"/>
        <w:rPr>
          <w:szCs w:val="24"/>
          <w:lang w:bidi="en-US"/>
        </w:rPr>
      </w:pPr>
      <w:r>
        <w:rPr/>
        <w:t>На практике, мощность очистных сооружений всегда выбирается с запасом, поэтому п</w:t>
      </w:r>
      <w:r>
        <w:rPr>
          <w:szCs w:val="28"/>
          <w:lang w:bidi="en-US"/>
        </w:rPr>
        <w:t>роектная мощность очистных сооружений и фактический приток крайне разнятся. В результате этого сооружения загружены неравномерно, что препятствует их нормальной работе</w:t>
      </w:r>
      <w:r>
        <w:rPr/>
        <w:t xml:space="preserve">. </w:t>
      </w:r>
      <w:r>
        <w:rPr>
          <w:szCs w:val="24"/>
          <w:lang w:bidi="en-US"/>
        </w:rPr>
        <w:t xml:space="preserve">Дисбаланс производительности сооружений и фактического притока сточных вод формируется рядом следующих факторов: 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ind w:left="851" w:hanging="284"/>
        <w:contextualSpacing w:val="false"/>
        <w:jc w:val="both"/>
        <w:rPr>
          <w:sz w:val="24"/>
          <w:lang w:bidi="en-US"/>
        </w:rPr>
      </w:pPr>
      <w:r>
        <w:rPr>
          <w:sz w:val="24"/>
          <w:lang w:bidi="en-US"/>
        </w:rPr>
        <w:t xml:space="preserve">высокая сезонная неравномерность водопотребления, и соответственно водоотведения, связанная с временным оттоком населения на период отпусков; 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ind w:left="851" w:hanging="284"/>
        <w:contextualSpacing w:val="false"/>
        <w:jc w:val="both"/>
        <w:rPr>
          <w:sz w:val="24"/>
          <w:lang w:bidi="en-US"/>
        </w:rPr>
      </w:pPr>
      <w:r>
        <w:rPr>
          <w:sz w:val="24"/>
          <w:lang w:bidi="en-US"/>
        </w:rPr>
        <w:t xml:space="preserve">паводковый период; </w:t>
      </w:r>
    </w:p>
    <w:p>
      <w:pPr>
        <w:pStyle w:val="ListParagraph"/>
        <w:numPr>
          <w:ilvl w:val="0"/>
          <w:numId w:val="35"/>
        </w:numPr>
        <w:spacing w:lineRule="auto" w:line="276" w:before="0" w:after="120"/>
        <w:ind w:left="851" w:hanging="284"/>
        <w:contextualSpacing w:val="false"/>
        <w:jc w:val="both"/>
        <w:rPr>
          <w:sz w:val="24"/>
        </w:rPr>
      </w:pPr>
      <w:r>
        <w:rPr>
          <w:sz w:val="24"/>
          <w:lang w:bidi="en-US"/>
        </w:rPr>
        <w:t>отсутствие приборов коммерческого учета стоков</w:t>
      </w:r>
      <w:r>
        <w:rPr>
          <w:sz w:val="24"/>
        </w:rPr>
        <w:t xml:space="preserve">. </w:t>
      </w:r>
    </w:p>
    <w:p>
      <w:pPr>
        <w:pStyle w:val="Normal"/>
        <w:spacing w:before="0" w:after="120"/>
        <w:rPr/>
      </w:pPr>
      <w:r>
        <w:rPr/>
        <w:t>В настоящий момент, канализационным очистным сооружениям Чугуевского муниципального округа необходима реконструкция с реализацией современных технологий биологической очистки и модернизация имеющегося на них оборудования. Новое строительство, а также реконструкцию существующих сооружений необходимо производить с применением современных и более качественных методов очистки, которые технологически способны обеспечить современные требования к качеству очистки сточных вод. Состав и производительность сооружений необходимо уточнить на этапе проектирования.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46" w:name="_Toc107492658"/>
      <w:r>
        <w:rPr/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округа</w:t>
      </w:r>
      <w:bookmarkEnd w:id="146"/>
    </w:p>
    <w:p>
      <w:pPr>
        <w:pStyle w:val="Normal"/>
        <w:spacing w:before="0" w:after="120"/>
        <w:rPr/>
      </w:pPr>
      <w:r>
        <w:rPr/>
        <w:t>Расчетное среднесуточное водоотведение в жилищно-коммунальном секторе при обеспечении его в полном объеме централизованной системой канализирования принимается равным водопотреблению на основании СП 32.13330.2018. Прогнозируемый расчетный объем хозяйственных стоков, подлежащих водоотведению по муниципальному образованию на расчетный срок – среднесуточный объем отводимых стоков составит 2445,0 м</w:t>
      </w:r>
      <w:r>
        <w:rPr>
          <w:vertAlign w:val="superscript"/>
        </w:rPr>
        <w:t>3</w:t>
      </w:r>
      <w:r>
        <w:rPr/>
        <w:t>/сут, или 892,4 тыс. м</w:t>
      </w:r>
      <w:r>
        <w:rPr>
          <w:vertAlign w:val="superscript"/>
        </w:rPr>
        <w:t>3</w:t>
      </w:r>
      <w:r>
        <w:rPr/>
        <w:t>/год.</w:t>
      </w:r>
    </w:p>
    <w:p>
      <w:pPr>
        <w:pStyle w:val="Normal"/>
        <w:spacing w:before="0" w:after="0"/>
        <w:rPr>
          <w:szCs w:val="26"/>
        </w:rPr>
      </w:pPr>
      <w:r>
        <w:rPr/>
        <w:t>Увеличение объема сточных вод связано с повышением доли населения, проживающего в домах оборудованных внутренней канализацией, строительством нового жилищного фонда, развитием системы культурно-бытового обслуживания.</w:t>
      </w:r>
    </w:p>
    <w:p>
      <w:pPr>
        <w:pStyle w:val="Normal"/>
        <w:spacing w:lineRule="auto" w:line="240" w:before="0" w:after="0"/>
        <w:ind w:hanging="0"/>
        <w:jc w:val="left"/>
        <w:rPr>
          <w:rFonts w:eastAsia="TimesNewRomanPS-BoldMT"/>
          <w:b/>
          <w:b/>
          <w:bCs/>
          <w:szCs w:val="26"/>
        </w:rPr>
      </w:pPr>
      <w:r>
        <w:rPr>
          <w:rFonts w:eastAsia="TimesNewRomanPS-BoldMT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147" w:name="_Toc107492659"/>
      <w:r>
        <w:rPr>
          <w:rFonts w:eastAsia="TimesNewRomanPS-BoldMT"/>
        </w:rPr>
        <w:t>ПРОГНОЗ ОБЪЕМА СТОЧНЫХ ВОД</w:t>
      </w:r>
      <w:bookmarkEnd w:id="147"/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48" w:name="_Toc107492660"/>
      <w:r>
        <w:rPr>
          <w:rFonts w:eastAsia="TimesNewRomanPS-BoldMT"/>
          <w:iCs/>
        </w:rPr>
        <w:t>Сведения о фактическом и ожидаемом поступлении сточных вод в централизованную систему водоотведения</w:t>
      </w:r>
      <w:bookmarkEnd w:id="148"/>
    </w:p>
    <w:p>
      <w:pPr>
        <w:pStyle w:val="Normal"/>
        <w:rPr/>
      </w:pPr>
      <w:r>
        <w:rPr/>
        <w:t xml:space="preserve">Фактические (за 2021 г.) и ожидаемые (в 2021-2032 гг.) объемы поступления сточных вод в централизованную систему водоотведения Чугуевского муниципального округа приведены в таблице </w:t>
      </w:r>
      <w:r>
        <w:rPr>
          <w:szCs w:val="24"/>
        </w:rPr>
        <w:t>2.</w:t>
      </w:r>
      <w:r>
        <w:rPr/>
        <w:t>4.1.</w:t>
      </w:r>
    </w:p>
    <w:p>
      <w:pPr>
        <w:pStyle w:val="Normal"/>
        <w:jc w:val="right"/>
        <w:rPr/>
      </w:pPr>
      <w:r>
        <w:rPr/>
        <w:t xml:space="preserve">Таблица </w:t>
      </w:r>
      <w:r>
        <w:rPr>
          <w:szCs w:val="24"/>
        </w:rPr>
        <w:t>2.</w:t>
      </w:r>
      <w:r>
        <w:rPr/>
        <w:t>4.1</w:t>
      </w:r>
    </w:p>
    <w:p>
      <w:pPr>
        <w:pStyle w:val="Normal"/>
        <w:ind w:hanging="0"/>
        <w:jc w:val="center"/>
        <w:rPr>
          <w:u w:val="single"/>
        </w:rPr>
      </w:pPr>
      <w:r>
        <w:rPr>
          <w:u w:val="single"/>
        </w:rPr>
        <w:t>Фактические и ожидаемые объемы поступления сточных вод в централизованную систему водоотведения Чугуевского муниципального округа</w:t>
      </w:r>
    </w:p>
    <w:tbl>
      <w:tblPr>
        <w:tblW w:w="9747" w:type="dxa"/>
        <w:jc w:val="center"/>
        <w:tblInd w:w="0" w:type="dxa"/>
        <w:tblLayout w:type="fixed"/>
        <w:tblCellMar>
          <w:top w:w="0" w:type="dxa"/>
          <w:left w:w="11" w:type="dxa"/>
          <w:bottom w:w="0" w:type="dxa"/>
          <w:right w:w="11" w:type="dxa"/>
        </w:tblCellMar>
        <w:tblLook w:val="00a0" w:noHBand="0" w:noVBand="0" w:firstColumn="1" w:lastRow="0" w:lastColumn="0" w:firstRow="1"/>
      </w:tblPr>
      <w:tblGrid>
        <w:gridCol w:w="2482"/>
        <w:gridCol w:w="1560"/>
        <w:gridCol w:w="874"/>
        <w:gridCol w:w="873"/>
        <w:gridCol w:w="875"/>
        <w:gridCol w:w="874"/>
        <w:gridCol w:w="873"/>
        <w:gridCol w:w="1334"/>
      </w:tblGrid>
      <w:tr>
        <w:trPr/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технологической зоны</w:t>
            </w: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Объем отведенных стоков, тыс.м³/год</w:t>
            </w:r>
          </w:p>
        </w:tc>
      </w:tr>
      <w:tr>
        <w:trPr>
          <w:trHeight w:val="431" w:hRule="atLeast"/>
        </w:trPr>
        <w:tc>
          <w:tcPr>
            <w:tcW w:w="24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2021 (сущ. пол.)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2027-2032</w:t>
            </w:r>
          </w:p>
        </w:tc>
      </w:tr>
      <w:tr>
        <w:trPr>
          <w:trHeight w:val="335" w:hRule="atLeast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Чугуевский муниципальный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892,4</w:t>
            </w:r>
          </w:p>
        </w:tc>
      </w:tr>
    </w:tbl>
    <w:p>
      <w:pPr>
        <w:pStyle w:val="Normal"/>
        <w:spacing w:before="120" w:after="0"/>
        <w:rPr>
          <w:szCs w:val="26"/>
        </w:rPr>
      </w:pPr>
      <w:r>
        <w:rPr>
          <w:szCs w:val="26"/>
        </w:rPr>
        <w:t xml:space="preserve">Расчет объемов водоотведения Чугуевского муниципального округа на расчетный срок составит </w:t>
      </w:r>
      <w:r>
        <w:rPr/>
        <w:t>892,4</w:t>
      </w:r>
      <w:r>
        <w:rPr>
          <w:szCs w:val="26"/>
        </w:rPr>
        <w:t xml:space="preserve"> тыс. м</w:t>
      </w:r>
      <w:r>
        <w:rPr>
          <w:szCs w:val="26"/>
          <w:vertAlign w:val="superscript"/>
        </w:rPr>
        <w:t>3</w:t>
      </w:r>
      <w:r>
        <w:rPr>
          <w:szCs w:val="26"/>
        </w:rPr>
        <w:t>/год.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49" w:name="_Toc107492661"/>
      <w:r>
        <w:rPr/>
        <w:t>Описание структуры централизованной системы водоотведения (эксплуатационные и технологические зоны)</w:t>
      </w:r>
      <w:bookmarkEnd w:id="149"/>
    </w:p>
    <w:p>
      <w:pPr>
        <w:pStyle w:val="Normal"/>
        <w:spacing w:before="0" w:after="120"/>
        <w:rPr/>
      </w:pPr>
      <w:r>
        <w:rPr/>
        <w:t xml:space="preserve">Система водоотведения Чугуевского муниципального округа осуществляет сбор, транспортировку, очистку поступающих сточных вод и выпуск очищенных стоков. </w:t>
      </w:r>
    </w:p>
    <w:p>
      <w:pPr>
        <w:pStyle w:val="Normal"/>
        <w:spacing w:before="0" w:after="60"/>
        <w:rPr/>
      </w:pPr>
      <w:r>
        <w:rPr/>
        <w:t xml:space="preserve">В состав систем водоотведения входят: 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Самотечные и напорные канализационные сети; 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 xml:space="preserve">Канализационные насосные станции; </w:t>
      </w:r>
    </w:p>
    <w:p>
      <w:pPr>
        <w:pStyle w:val="ListParagraph"/>
        <w:numPr>
          <w:ilvl w:val="0"/>
          <w:numId w:val="16"/>
        </w:numPr>
        <w:spacing w:lineRule="auto" w:line="276" w:before="0" w:after="120"/>
        <w:ind w:left="851" w:hanging="284"/>
        <w:contextualSpacing w:val="false"/>
        <w:jc w:val="both"/>
        <w:rPr>
          <w:sz w:val="24"/>
        </w:rPr>
      </w:pPr>
      <w:r>
        <w:rPr>
          <w:sz w:val="24"/>
        </w:rPr>
        <w:t>Очистные сооружения канализации в с. Чугуевка,</w:t>
      </w:r>
      <w:r>
        <w:rPr/>
        <w:t xml:space="preserve"> </w:t>
      </w:r>
      <w:r>
        <w:rPr>
          <w:sz w:val="24"/>
        </w:rPr>
        <w:t xml:space="preserve">с. Новочугуевка. </w:t>
      </w:r>
    </w:p>
    <w:p>
      <w:pPr>
        <w:pStyle w:val="Normal"/>
        <w:spacing w:before="0" w:after="120"/>
        <w:rPr/>
      </w:pPr>
      <w:r>
        <w:rPr/>
        <w:t>Канализационные очистные сооружения с. Чугуевка, а также канализационные сети с. Чугуевка находятся в собственности Администрация Чугуевского муниципального округа.</w:t>
      </w:r>
    </w:p>
    <w:p>
      <w:pPr>
        <w:pStyle w:val="Normal"/>
        <w:spacing w:before="0" w:after="120"/>
        <w:rPr/>
      </w:pPr>
      <w:r>
        <w:rPr/>
        <w:t xml:space="preserve">Эксплуатацию систем водоотведения и очистку сточных вод в с. Чугуевка, с. Новочугуевка осуществляет ООО «Водолей».  </w:t>
      </w:r>
    </w:p>
    <w:p>
      <w:pPr>
        <w:pStyle w:val="Normal"/>
        <w:spacing w:before="0" w:after="0"/>
        <w:rPr/>
      </w:pPr>
      <w:r>
        <w:rPr/>
        <w:t xml:space="preserve">Структура существующего и перспективного баланса водоотведения централизованной системы водоотведения представлена в таблице </w:t>
      </w:r>
      <w:r>
        <w:rPr>
          <w:szCs w:val="24"/>
        </w:rPr>
        <w:t>2.</w:t>
      </w:r>
      <w:r>
        <w:rPr/>
        <w:t>4.2.</w:t>
      </w:r>
    </w:p>
    <w:p>
      <w:pPr>
        <w:pStyle w:val="Normal"/>
        <w:jc w:val="right"/>
        <w:rPr/>
      </w:pPr>
      <w:r>
        <w:rPr/>
        <w:t xml:space="preserve">Таблица </w:t>
      </w:r>
      <w:r>
        <w:rPr>
          <w:szCs w:val="24"/>
        </w:rPr>
        <w:t>2.</w:t>
      </w:r>
      <w:r>
        <w:rPr/>
        <w:t>4.2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4"/>
        <w:gridCol w:w="2913"/>
        <w:gridCol w:w="4026"/>
        <w:gridCol w:w="2741"/>
      </w:tblGrid>
      <w:tr>
        <w:trPr>
          <w:trHeight w:val="85" w:hRule="atLeast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Водоотведение, тыс. м</w:t>
            </w:r>
            <w:r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/год</w:t>
            </w:r>
          </w:p>
        </w:tc>
      </w:tr>
      <w:tr>
        <w:trPr>
          <w:trHeight w:val="328" w:hRule="atLeast"/>
        </w:trPr>
        <w:tc>
          <w:tcPr>
            <w:tcW w:w="5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Существующее положение, 2021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Расчетный срок, 2032 год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Чугуевский муниципальный округ</w:t>
            </w:r>
          </w:p>
        </w:tc>
        <w:tc>
          <w:tcPr>
            <w:tcW w:w="4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892,4</w:t>
            </w:r>
          </w:p>
        </w:tc>
      </w:tr>
    </w:tbl>
    <w:p>
      <w:pPr>
        <w:pStyle w:val="Normal"/>
        <w:spacing w:before="0" w:after="120"/>
        <w:rPr/>
      </w:pPr>
      <w:r>
        <w:rPr/>
        <w:t xml:space="preserve"> 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50" w:name="_Toc107492662"/>
      <w:r>
        <w:rPr/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50"/>
    </w:p>
    <w:p>
      <w:pPr>
        <w:pStyle w:val="Normal"/>
        <w:rPr>
          <w:lang w:eastAsia="ru-RU"/>
        </w:rPr>
      </w:pPr>
      <w:r>
        <w:rPr>
          <w:lang w:eastAsia="ru-RU"/>
        </w:rPr>
        <w:t xml:space="preserve">Расчет требуемой мощности очистных сооружений, по технологическим зонам водоотведения исходя из данных о расчетном расходе сточных вод, представлен в таблице </w:t>
      </w:r>
      <w:r>
        <w:rPr>
          <w:szCs w:val="24"/>
        </w:rPr>
        <w:t>2.</w:t>
      </w:r>
      <w:r>
        <w:rPr>
          <w:lang w:eastAsia="ru-RU"/>
        </w:rPr>
        <w:t>4.3.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  <w:t xml:space="preserve">Таблица </w:t>
      </w:r>
      <w:r>
        <w:rPr>
          <w:szCs w:val="24"/>
        </w:rPr>
        <w:t>2.</w:t>
      </w:r>
      <w:r>
        <w:rPr>
          <w:lang w:eastAsia="ru-RU"/>
        </w:rPr>
        <w:t>4.3</w:t>
      </w:r>
    </w:p>
    <w:p>
      <w:pPr>
        <w:pStyle w:val="Normal"/>
        <w:ind w:hanging="0"/>
        <w:jc w:val="center"/>
        <w:rPr>
          <w:u w:val="single"/>
          <w:lang w:eastAsia="ru-RU"/>
        </w:rPr>
      </w:pPr>
      <w:r>
        <w:rPr>
          <w:u w:val="single"/>
        </w:rPr>
        <w:t>Расчет требуемой мощности очистных сооружений канализации на 2032 год</w:t>
      </w:r>
    </w:p>
    <w:tbl>
      <w:tblPr>
        <w:tblW w:w="941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3136"/>
        <w:gridCol w:w="3137"/>
        <w:gridCol w:w="3137"/>
      </w:tblGrid>
      <w:tr>
        <w:trPr/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технологической зоны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суточный объем отведенных стоков, м³/сут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Требуемая мощность очистных сооружений канализации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2032 год</w:t>
            </w:r>
          </w:p>
        </w:tc>
      </w:tr>
      <w:tr>
        <w:trPr/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Чугуевский муниципальный округ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2445,0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51" w:name="_Toc107492663"/>
      <w:r>
        <w:rPr/>
        <w:t>Результаты анализа гидравлических режимов и режимов работы элементов централизованной системы водоотведения</w:t>
      </w:r>
      <w:bookmarkEnd w:id="151"/>
    </w:p>
    <w:p>
      <w:pPr>
        <w:pStyle w:val="Normal"/>
        <w:rPr/>
      </w:pPr>
      <w:r>
        <w:rPr/>
        <w:t>Учитывая, что расчеты гидравлических режимов на предприятии эксплуатирующем систему канализования не предоставлены, провести анализ гидравлических режимов не представляется возможным.</w:t>
      </w:r>
    </w:p>
    <w:p>
      <w:pPr>
        <w:pStyle w:val="Normal"/>
        <w:rPr/>
      </w:pPr>
      <w:r>
        <w:rPr/>
        <w:t xml:space="preserve">Режимы работы элементов централизованной системы водоотведения следующие: </w:t>
      </w:r>
    </w:p>
    <w:p>
      <w:pPr>
        <w:pStyle w:val="Normal"/>
        <w:rPr/>
      </w:pPr>
      <w:r>
        <w:rPr/>
        <w:t xml:space="preserve">Самотечные коллекторы, квартальные и дворовые сети работают в непрерывном режиме транспортировки стоков. </w:t>
      </w:r>
    </w:p>
    <w:p>
      <w:pPr>
        <w:pStyle w:val="Normal"/>
        <w:rPr/>
      </w:pPr>
      <w:r>
        <w:rPr/>
        <w:t xml:space="preserve">Напорные коллекторы работают в автоматическом режиме. Стоки перекачиваются после срабатывания автоматики при достижении определенного уровня стоков в колодцах – накопителях. </w:t>
      </w:r>
    </w:p>
    <w:p>
      <w:pPr>
        <w:pStyle w:val="Normal"/>
        <w:rPr/>
      </w:pPr>
      <w:r>
        <w:rPr/>
        <w:t xml:space="preserve">Очистные сооружении осуществляют свою работу в круглосуточном непрерывном режиме. </w:t>
      </w:r>
    </w:p>
    <w:p>
      <w:pPr>
        <w:pStyle w:val="Normal"/>
        <w:spacing w:before="0" w:after="0"/>
        <w:rPr/>
      </w:pPr>
      <w:r>
        <w:rPr/>
        <w:t>Часы пик в работе всех элементов системы центральной канализации наблюдаются в периоды: с 6 до 8 часов утра, с 12 до 14 часов дня, и с 17 до 21 часа.</w:t>
      </w:r>
    </w:p>
    <w:p>
      <w:pPr>
        <w:pStyle w:val="Normal"/>
        <w:rPr/>
      </w:pPr>
      <w:r>
        <w:rPr/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самотеком. Место расположения насосной станции выбрано с учетом возможности устройства аварийного выпуска.</w:t>
      </w:r>
    </w:p>
    <w:p>
      <w:pPr>
        <w:pStyle w:val="Normal"/>
        <w:rPr/>
      </w:pPr>
      <w:r>
        <w:rPr/>
        <w:t xml:space="preserve">В настоящее время на территории Чугуевского муниципального округа централизованная система бытовой канализации организована только в с. Чугуевка, с. Новочугуевка. Сеть является самотечной до КНС и напорно-самотечной после КНС. На территории МО имеются 4 канализационные насосные станции. 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152" w:name="_Toc375684104"/>
      <w:bookmarkStart w:id="153" w:name="_Toc375649281"/>
      <w:bookmarkStart w:id="154" w:name="_Toc375649278"/>
      <w:bookmarkStart w:id="155" w:name="_Toc375685131"/>
      <w:bookmarkStart w:id="156" w:name="_Toc375684103"/>
      <w:bookmarkStart w:id="157" w:name="_Toc375649277"/>
      <w:bookmarkStart w:id="158" w:name="_Toc375685129"/>
      <w:bookmarkStart w:id="159" w:name="_Toc375684101"/>
      <w:bookmarkStart w:id="160" w:name="_Toc375685132"/>
      <w:bookmarkStart w:id="161" w:name="_Toc375649279"/>
      <w:bookmarkStart w:id="162" w:name="_Toc375684105"/>
      <w:bookmarkStart w:id="163" w:name="_Toc375685133"/>
      <w:bookmarkStart w:id="164" w:name="_Toc375684107"/>
      <w:bookmarkStart w:id="165" w:name="_Toc375685135"/>
      <w:bookmarkStart w:id="166" w:name="_Toc375684115"/>
      <w:bookmarkStart w:id="167" w:name="_Toc375649287"/>
      <w:bookmarkStart w:id="168" w:name="_Toc375649275"/>
      <w:bookmarkStart w:id="169" w:name="_Toc375685128"/>
      <w:bookmarkStart w:id="170" w:name="_Toc375684100"/>
      <w:bookmarkStart w:id="171" w:name="_Toc375649274"/>
      <w:bookmarkStart w:id="172" w:name="_Toc375685126"/>
      <w:bookmarkStart w:id="173" w:name="_Toc375684098"/>
      <w:bookmarkStart w:id="174" w:name="_Toc375649272"/>
      <w:bookmarkStart w:id="175" w:name="_Toc375685125"/>
      <w:bookmarkStart w:id="176" w:name="_Toc375684097"/>
      <w:bookmarkStart w:id="177" w:name="_Toc375649271"/>
      <w:bookmarkStart w:id="178" w:name="_Toc375685124"/>
      <w:bookmarkStart w:id="179" w:name="_Toc375684096"/>
      <w:bookmarkStart w:id="180" w:name="_Toc375649270"/>
      <w:bookmarkStart w:id="181" w:name="_Toc375685123"/>
      <w:bookmarkStart w:id="182" w:name="_Toc375684095"/>
      <w:bookmarkStart w:id="183" w:name="_Toc375649269"/>
      <w:bookmarkStart w:id="184" w:name="_Toc375685141"/>
      <w:bookmarkStart w:id="185" w:name="_Toc107492664"/>
      <w:bookmarkStart w:id="186" w:name="_Toc375685245"/>
      <w:bookmarkStart w:id="187" w:name="_Toc375684217"/>
      <w:bookmarkStart w:id="188" w:name="_Toc375649391"/>
      <w:bookmarkStart w:id="189" w:name="_Toc375685244"/>
      <w:bookmarkStart w:id="190" w:name="_Toc375684216"/>
      <w:bookmarkStart w:id="191" w:name="_Toc375649390"/>
      <w:bookmarkStart w:id="192" w:name="_Toc375685149"/>
      <w:bookmarkStart w:id="193" w:name="_Toc375684121"/>
      <w:bookmarkStart w:id="194" w:name="_Toc375649295"/>
      <w:bookmarkStart w:id="195" w:name="_Toc375685148"/>
      <w:bookmarkStart w:id="196" w:name="_Toc375684120"/>
      <w:bookmarkStart w:id="197" w:name="_Toc375649294"/>
      <w:bookmarkStart w:id="198" w:name="_Toc375685147"/>
      <w:bookmarkStart w:id="199" w:name="_Toc375684119"/>
      <w:bookmarkStart w:id="200" w:name="_Toc375649290"/>
      <w:bookmarkStart w:id="201" w:name="_Toc375649293"/>
      <w:bookmarkStart w:id="202" w:name="_Toc375684113"/>
      <w:bookmarkStart w:id="203" w:name="_Toc375649288"/>
      <w:bookmarkStart w:id="204" w:name="_Toc375684114"/>
      <w:bookmarkStart w:id="205" w:name="_Toc375685142"/>
      <w:bookmarkStart w:id="206" w:name="_Toc375649289"/>
      <w:bookmarkStart w:id="207" w:name="_Toc375685143"/>
      <w:bookmarkStart w:id="208" w:name="_Toc375684116"/>
      <w:bookmarkStart w:id="209" w:name="_Toc375685144"/>
      <w:bookmarkStart w:id="210" w:name="_Toc375649291"/>
      <w:bookmarkStart w:id="211" w:name="_Toc375684117"/>
      <w:bookmarkStart w:id="212" w:name="_Toc375685145"/>
      <w:bookmarkStart w:id="213" w:name="_Toc375649292"/>
      <w:bookmarkStart w:id="214" w:name="_Toc375684118"/>
      <w:bookmarkStart w:id="215" w:name="_Toc375685146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>
        <w:rPr/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185"/>
    </w:p>
    <w:p>
      <w:pPr>
        <w:pStyle w:val="Normal"/>
        <w:rPr/>
      </w:pPr>
      <w:r>
        <w:rPr/>
        <w:t>Из расчета, представленного в пункте 4.3, видно, что при прогнозируемой тенденции к подключению новых потребителей, при существующих мощностях очистных сооружений, где уже имеется централизованная система водоотведения, дефицита по производительности основного технологического оборудования нет.</w:t>
      </w:r>
    </w:p>
    <w:p>
      <w:pPr>
        <w:pStyle w:val="Normal"/>
        <w:spacing w:lineRule="auto" w:line="240" w:before="0" w:after="0"/>
        <w:ind w:hanging="0"/>
        <w:jc w:val="left"/>
        <w:rPr>
          <w:rFonts w:eastAsia="TimesNewRomanPS-BoldMT"/>
          <w:b/>
          <w:b/>
          <w:bCs/>
          <w:szCs w:val="26"/>
        </w:rPr>
      </w:pPr>
      <w:r>
        <w:rPr>
          <w:rFonts w:eastAsia="TimesNewRomanPS-BoldMT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216" w:name="_Toc107492665"/>
      <w:r>
        <w:rPr>
          <w:rFonts w:eastAsia="TimesNewRomanPS-BoldMT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16"/>
    </w:p>
    <w:p>
      <w:pPr>
        <w:pStyle w:val="2"/>
        <w:numPr>
          <w:ilvl w:val="2"/>
          <w:numId w:val="33"/>
        </w:numPr>
        <w:rPr>
          <w:rFonts w:eastAsia="TimesNewRomanPS-BoldMT"/>
        </w:rPr>
      </w:pPr>
      <w:bookmarkStart w:id="217" w:name="_Toc107492666"/>
      <w:r>
        <w:rPr>
          <w:rFonts w:eastAsia="TimesNewRomanPS-BoldMT"/>
        </w:rPr>
        <w:t xml:space="preserve">Основные направления, принципы, задачи и </w:t>
      </w:r>
      <w:r>
        <w:rPr>
          <w:rFonts w:eastAsia="TimesNewRomanPS-BoldMT"/>
          <w:iCs/>
        </w:rPr>
        <w:t>плановые значения показателей</w:t>
      </w:r>
      <w:r>
        <w:rPr>
          <w:rFonts w:eastAsia="TimesNewRomanPS-BoldMT"/>
        </w:rPr>
        <w:t xml:space="preserve"> развития централизованной системы водоотведения</w:t>
      </w:r>
      <w:bookmarkEnd w:id="217"/>
    </w:p>
    <w:p>
      <w:pPr>
        <w:pStyle w:val="Normal"/>
        <w:spacing w:before="0" w:after="120"/>
        <w:rPr/>
      </w:pPr>
      <w:r>
        <w:rPr/>
        <w:t>Основные направления развития централизованной системы водоотведения связаны с реализацией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водоотведения, снижение негативного воздействия на водные объекты путем повышения качества очистки сточных вод, обеспечение доступности услуг водоотведения для абонентов за счет развития централизованной системы водоотведения.</w:t>
      </w:r>
    </w:p>
    <w:p>
      <w:pPr>
        <w:pStyle w:val="Normal"/>
        <w:spacing w:before="0" w:after="120"/>
        <w:rPr/>
      </w:pPr>
      <w:r>
        <w:rPr/>
        <w:t>Принципами развития централизованной системы водоотведения являются:</w:t>
      </w:r>
    </w:p>
    <w:p>
      <w:pPr>
        <w:pStyle w:val="Normal"/>
        <w:spacing w:before="0" w:after="120"/>
        <w:rPr/>
      </w:pPr>
      <w:r>
        <w:rPr/>
        <w:t>-</w:t>
        <w:tab/>
        <w:t>постоянное улучшение качества предоставления услуг водоотведения потребителям (абонентам);</w:t>
      </w:r>
    </w:p>
    <w:p>
      <w:pPr>
        <w:pStyle w:val="Normal"/>
        <w:spacing w:before="0" w:after="120"/>
        <w:rPr/>
      </w:pPr>
      <w:r>
        <w:rPr/>
        <w:t>-</w:t>
        <w:tab/>
        <w:t>удовлетворение потребности в обеспечении услугой водоотведения новых объектов капитального строительства;</w:t>
      </w:r>
    </w:p>
    <w:p>
      <w:pPr>
        <w:pStyle w:val="Normal"/>
        <w:spacing w:before="0" w:after="120"/>
        <w:rPr/>
      </w:pPr>
      <w:r>
        <w:rPr/>
        <w:t>-</w:t>
        <w:tab/>
        <w:t xml:space="preserve">постоянное совершенствование системы водоотведения путем планирования, реализации, проверки и корректировки технических решений и мероприятий. </w:t>
      </w:r>
    </w:p>
    <w:p>
      <w:pPr>
        <w:pStyle w:val="Normal"/>
        <w:spacing w:before="0" w:after="120"/>
        <w:rPr/>
      </w:pPr>
      <w:r>
        <w:rPr/>
        <w:t>Основными задачами развития централизованной системы водоотведения являются:</w:t>
      </w:r>
    </w:p>
    <w:p>
      <w:pPr>
        <w:pStyle w:val="Normal"/>
        <w:spacing w:before="0" w:after="120"/>
        <w:rPr/>
      </w:pPr>
      <w:r>
        <w:rPr/>
        <w:t>-</w:t>
        <w:tab/>
        <w:t xml:space="preserve">строительство сетей и сооружений для отведения сточных вод с территорий поселения, не имеющих централизованного водоотведения, с целью обеспечения доступности услуг водоотведения для всех жителей; </w:t>
      </w:r>
    </w:p>
    <w:p>
      <w:pPr>
        <w:pStyle w:val="Normal"/>
        <w:spacing w:before="0" w:after="120"/>
        <w:rPr/>
      </w:pPr>
      <w:r>
        <w:rPr/>
        <w:t>-</w:t>
        <w:tab/>
        <w:t xml:space="preserve">обеспечение доступа к услугам водоотведения новых потребителей; </w:t>
      </w:r>
    </w:p>
    <w:p>
      <w:pPr>
        <w:pStyle w:val="Normal"/>
        <w:spacing w:before="0" w:after="120"/>
        <w:rPr/>
      </w:pPr>
      <w:r>
        <w:rPr/>
        <w:t>-</w:t>
        <w:tab/>
        <w:t>повышение энергетической эффективности системы водоотведения.</w:t>
      </w:r>
    </w:p>
    <w:p>
      <w:pPr>
        <w:pStyle w:val="Normal"/>
        <w:spacing w:before="0" w:after="120"/>
        <w:rPr/>
      </w:pPr>
      <w:r>
        <w:rPr/>
        <w:t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</w:t>
      </w:r>
    </w:p>
    <w:p>
      <w:pPr>
        <w:pStyle w:val="Normal"/>
        <w:spacing w:before="0" w:after="120"/>
        <w:rPr/>
      </w:pPr>
      <w:r>
        <w:rPr/>
        <w:t>а) показатели надежности и бесперебойности водоотведения;</w:t>
      </w:r>
    </w:p>
    <w:p>
      <w:pPr>
        <w:pStyle w:val="Normal"/>
        <w:spacing w:before="0" w:after="120"/>
        <w:rPr/>
      </w:pPr>
      <w:r>
        <w:rPr/>
        <w:t>б) показатели очистки сточных вод;</w:t>
      </w:r>
    </w:p>
    <w:p>
      <w:pPr>
        <w:pStyle w:val="Normal"/>
        <w:spacing w:before="0" w:after="120"/>
        <w:rPr/>
      </w:pPr>
      <w:r>
        <w:rPr/>
        <w:t>в) показатели эффективности использования ресурсов при транспортировке сточных вод;</w:t>
      </w:r>
    </w:p>
    <w:p>
      <w:pPr>
        <w:pStyle w:val="Normal"/>
        <w:spacing w:before="0" w:after="120"/>
        <w:rPr/>
      </w:pPr>
      <w:r>
        <w:rPr/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>
      <w:pPr>
        <w:pStyle w:val="Normal"/>
        <w:spacing w:before="0" w:after="120"/>
        <w:rPr/>
      </w:pPr>
      <w:r>
        <w:rPr/>
        <w:t>Плановые значения показателей развития централизованной системы водоотведения представлены в разделе 2.8.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120"/>
        <w:rPr/>
      </w:pPr>
      <w:r>
        <w:rPr/>
      </w:r>
    </w:p>
    <w:p>
      <w:pPr>
        <w:pStyle w:val="2"/>
        <w:numPr>
          <w:ilvl w:val="2"/>
          <w:numId w:val="33"/>
        </w:numPr>
        <w:tabs>
          <w:tab w:val="clear" w:pos="709"/>
          <w:tab w:val="left" w:pos="993" w:leader="none"/>
        </w:tabs>
        <w:spacing w:lineRule="auto" w:line="240"/>
        <w:rPr>
          <w:rFonts w:eastAsia="TimesNewRomanPS-BoldMT"/>
        </w:rPr>
      </w:pPr>
      <w:bookmarkStart w:id="218" w:name="_Toc107492667"/>
      <w:r>
        <w:rPr/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218"/>
    </w:p>
    <w:p>
      <w:pPr>
        <w:pStyle w:val="147"/>
        <w:spacing w:lineRule="auto" w:line="276" w:before="0" w:after="60"/>
        <w:ind w:left="0" w:firstLine="567"/>
        <w:jc w:val="both"/>
        <w:rPr>
          <w:sz w:val="24"/>
        </w:rPr>
      </w:pPr>
      <w:r>
        <w:rPr>
          <w:sz w:val="24"/>
        </w:rPr>
        <w:t>Для развития централизованной системы водоотведения на территории Чугуевского муниципального округа предусмотренны мероприятия. Генеральным планом, в соответствии со Схемой территориального планирования Чугуевского муниципального округа выполнить:</w:t>
      </w:r>
    </w:p>
    <w:p>
      <w:pPr>
        <w:pStyle w:val="147"/>
        <w:spacing w:before="0" w:after="60"/>
        <w:ind w:left="0" w:firstLine="567"/>
        <w:jc w:val="both"/>
        <w:rPr>
          <w:sz w:val="24"/>
        </w:rPr>
      </w:pPr>
      <w:r>
        <w:rPr>
          <w:sz w:val="24"/>
        </w:rPr>
        <w:t>Обеспечение централизованной системой водоотведения планируется на расчетный срок. К расчетному сроку предлагается выполнить реконструкцию и строительство комплекса очистных сооружений в следующем составе: отстойники, песколовки, пруды естественной биологической очистки и пруды накопители. Для передачи канализационных стоков на очистные сооружения необходимо выполнить насосные станции и напорные трубопроводы от насосных станций до очистных сооружений. На расчетный срок необходимо выполнить централизованную систему канализации с устройством комплекса очистных сооружений.</w:t>
      </w:r>
    </w:p>
    <w:p>
      <w:pPr>
        <w:pStyle w:val="147"/>
        <w:spacing w:before="0" w:after="60"/>
        <w:ind w:left="0" w:firstLine="567"/>
        <w:jc w:val="both"/>
        <w:rPr>
          <w:sz w:val="24"/>
        </w:rPr>
      </w:pPr>
      <w:r>
        <w:rPr>
          <w:sz w:val="24"/>
        </w:rPr>
        <w:t>Для отведения и очистки стоков предусмотрена система централизованной канализации. Хозяйственно-бытовые сточные воды проходят очистку на сооружениях биологической очистки сточных вод. Площадка очистных сооружений намечается в северо-восточной части села рядом с вертолетной площадкой.</w:t>
      </w:r>
    </w:p>
    <w:p>
      <w:pPr>
        <w:pStyle w:val="147"/>
        <w:spacing w:before="0" w:after="60"/>
        <w:ind w:left="0" w:firstLine="567"/>
        <w:jc w:val="both"/>
        <w:rPr>
          <w:sz w:val="24"/>
        </w:rPr>
      </w:pPr>
      <w:r>
        <w:rPr>
          <w:sz w:val="24"/>
        </w:rPr>
        <w:t>Учитывая, что рельеф местности проектируемой территории неблагоприятный для прокладки самотечной канализации, на территории поселка предусматриваются насосные станции перекачки сточных вод. Сети канализации выполняются из безнапорных асбестоцементных труб и чугунных напорных труб.</w:t>
      </w:r>
    </w:p>
    <w:p>
      <w:pPr>
        <w:pStyle w:val="Normal"/>
        <w:ind w:firstLine="709"/>
        <w:rPr>
          <w:szCs w:val="24"/>
        </w:rPr>
      </w:pPr>
      <w:r>
        <w:rPr>
          <w:szCs w:val="24"/>
        </w:rPr>
        <w:t xml:space="preserve">Перечень мероприятий по развитию систем водоотведения </w:t>
      </w:r>
      <w:r>
        <w:rPr/>
        <w:t xml:space="preserve">Чугуевского муниципального округа </w:t>
      </w:r>
      <w:r>
        <w:rPr>
          <w:szCs w:val="24"/>
        </w:rPr>
        <w:t>представлен в таблице 2.5.1.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  <w:t xml:space="preserve">Таблица </w:t>
      </w:r>
      <w:r>
        <w:rPr>
          <w:szCs w:val="24"/>
        </w:rPr>
        <w:t>2.</w:t>
      </w:r>
      <w:r>
        <w:rPr>
          <w:lang w:eastAsia="ru-RU"/>
        </w:rPr>
        <w:t>5.1</w:t>
      </w:r>
    </w:p>
    <w:tbl>
      <w:tblPr>
        <w:tblW w:w="104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78"/>
        <w:gridCol w:w="1842"/>
        <w:gridCol w:w="2801"/>
      </w:tblGrid>
      <w:tr>
        <w:trPr>
          <w:trHeight w:val="68" w:hRule="atLeast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</w:rPr>
            </w:pPr>
            <w:r>
              <w:rPr>
                <w:rFonts w:eastAsia="Calibri" w:eastAsiaTheme="minorHAns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</w:rPr>
            </w:pPr>
            <w:r>
              <w:rPr>
                <w:rFonts w:eastAsia="Calibri" w:eastAsiaTheme="minorHAnsi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Calibri" w:eastAsiaTheme="minorHAnsi"/>
                <w:b/>
                <w:b/>
                <w:sz w:val="20"/>
                <w:szCs w:val="20"/>
              </w:rPr>
            </w:pPr>
            <w:r>
              <w:rPr>
                <w:rFonts w:eastAsia="Calibri" w:eastAsiaTheme="minorHAnsi"/>
                <w:b/>
                <w:sz w:val="20"/>
                <w:szCs w:val="20"/>
              </w:rPr>
              <w:t>Сроки реализации</w:t>
            </w:r>
          </w:p>
        </w:tc>
      </w:tr>
      <w:tr>
        <w:trPr>
          <w:trHeight w:val="433" w:hRule="atLeast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Приведение качества сбрасываемых сточных вод в соответствии с установленными требованиями в с. Чугуевка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2022-2032 гг.</w:t>
            </w:r>
          </w:p>
        </w:tc>
      </w:tr>
      <w:tr>
        <w:trPr>
          <w:trHeight w:val="433" w:hRule="atLeast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Приведение качества сбрасываемых сточных вод в соответствии с установленными требованиями в с. Новочугуевка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2022-2032 гг.</w:t>
            </w:r>
          </w:p>
        </w:tc>
      </w:tr>
    </w:tbl>
    <w:p>
      <w:pPr>
        <w:pStyle w:val="147"/>
        <w:spacing w:lineRule="auto" w:line="276" w:before="0" w:after="60"/>
        <w:ind w:left="0" w:firstLine="567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200"/>
        <w:ind w:firstLine="709"/>
        <w:contextualSpacing/>
        <w:rPr/>
      </w:pPr>
      <w:r>
        <w:rPr/>
        <w:t>Водоотведение существующих и перспективных кварталов индивидуальной жилой застройки с. Чугуевка и с. Новочугуевка, возможно, осуществлять по двум вариантам:</w:t>
      </w:r>
    </w:p>
    <w:p>
      <w:pPr>
        <w:pStyle w:val="Normal"/>
        <w:spacing w:before="0" w:after="200"/>
        <w:ind w:firstLine="709"/>
        <w:contextualSpacing/>
        <w:rPr/>
      </w:pPr>
      <w:r>
        <w:rPr/>
      </w:r>
    </w:p>
    <w:p>
      <w:pPr>
        <w:pStyle w:val="Normal"/>
        <w:ind w:firstLine="652"/>
        <w:rPr/>
      </w:pPr>
      <w:r>
        <w:rPr/>
        <w:t>Первый вариант.</w:t>
      </w:r>
    </w:p>
    <w:p>
      <w:pPr>
        <w:pStyle w:val="Normal"/>
        <w:ind w:firstLine="652"/>
        <w:rPr/>
      </w:pPr>
      <w:r>
        <w:rPr/>
        <w:t>Подключение к существующей централизованной системе водоотведения – строительство канализационных насосных станций и прокладка канализационных коллекторов.</w:t>
      </w:r>
    </w:p>
    <w:p>
      <w:pPr>
        <w:pStyle w:val="Normal"/>
        <w:ind w:firstLine="652"/>
        <w:rPr/>
      </w:pPr>
      <w:r>
        <w:rPr/>
        <w:t>Второй вариант.</w:t>
      </w:r>
    </w:p>
    <w:p>
      <w:pPr>
        <w:pStyle w:val="Normal"/>
        <w:spacing w:before="0" w:after="120"/>
        <w:ind w:firstLine="709"/>
        <w:rPr>
          <w:b/>
          <w:b/>
          <w:i/>
          <w:i/>
          <w:sz w:val="28"/>
          <w:szCs w:val="28"/>
        </w:rPr>
      </w:pPr>
      <w:r>
        <w:rPr/>
        <w:t>Владельцы индивидуальных жилых домов по согласованию с местными органами надзора могут использовать компактные установки полной биологической очистки на своих приусадебных участках.</w:t>
      </w:r>
    </w:p>
    <w:p>
      <w:pPr>
        <w:pStyle w:val="Normal"/>
        <w:spacing w:before="0" w:after="120"/>
        <w:ind w:left="1418" w:hanging="0"/>
        <w:rPr>
          <w:b/>
          <w:b/>
          <w:i/>
          <w:i/>
          <w:szCs w:val="28"/>
        </w:rPr>
      </w:pPr>
      <w:r>
        <w:rPr>
          <w:b/>
          <w:i/>
          <w:szCs w:val="28"/>
        </w:rPr>
        <w:t>Также предлагается:</w:t>
      </w:r>
    </w:p>
    <w:p>
      <w:pPr>
        <w:pStyle w:val="Normal"/>
        <w:spacing w:before="0" w:after="120"/>
        <w:ind w:left="1418" w:hanging="0"/>
        <w:rPr>
          <w:b/>
          <w:b/>
          <w:i/>
          <w:i/>
          <w:szCs w:val="28"/>
        </w:rPr>
      </w:pPr>
      <w:r>
        <w:rPr>
          <w:b/>
          <w:i/>
          <w:szCs w:val="28"/>
        </w:rPr>
        <w:t>На Расчетный срок (до 2032 г.):</w:t>
      </w:r>
    </w:p>
    <w:p>
      <w:pPr>
        <w:pStyle w:val="ListParagraph"/>
        <w:numPr>
          <w:ilvl w:val="0"/>
          <w:numId w:val="32"/>
        </w:numPr>
        <w:spacing w:before="0" w:after="120"/>
        <w:contextualSpacing/>
        <w:jc w:val="both"/>
        <w:rPr>
          <w:sz w:val="24"/>
        </w:rPr>
      </w:pPr>
      <w:r>
        <w:rPr>
          <w:sz w:val="24"/>
        </w:rPr>
        <w:t>обустроить 100% неканализированного жилищного фонда муниципального округа водонепроницаемыми выгребами, соответствующим современным санитарно-гигиеническим нормам;</w:t>
      </w:r>
    </w:p>
    <w:p>
      <w:pPr>
        <w:pStyle w:val="Normal"/>
        <w:numPr>
          <w:ilvl w:val="0"/>
          <w:numId w:val="32"/>
        </w:numPr>
        <w:spacing w:before="0" w:after="120"/>
        <w:ind w:left="709" w:hanging="425"/>
        <w:rPr>
          <w:szCs w:val="24"/>
        </w:rPr>
      </w:pPr>
      <w:r>
        <w:rPr>
          <w:szCs w:val="24"/>
        </w:rPr>
        <w:t>обеспечить охват 100% населения системой вывоза ЖБО на ближайшие очистные сооружения;</w:t>
      </w:r>
    </w:p>
    <w:p>
      <w:pPr>
        <w:pStyle w:val="Normal"/>
        <w:numPr>
          <w:ilvl w:val="0"/>
          <w:numId w:val="32"/>
        </w:numPr>
        <w:spacing w:before="0" w:after="120"/>
        <w:ind w:left="1418" w:hanging="1134"/>
        <w:rPr>
          <w:b/>
          <w:b/>
          <w:szCs w:val="24"/>
        </w:rPr>
      </w:pPr>
      <w:r>
        <w:rPr>
          <w:spacing w:val="-6"/>
          <w:szCs w:val="24"/>
        </w:rPr>
        <w:t>вывоз ЖБО производить по заявкам, но не реже одного раза в полгода.</w:t>
      </w:r>
    </w:p>
    <w:p>
      <w:pPr>
        <w:pStyle w:val="Normal"/>
        <w:spacing w:before="0" w:after="120"/>
        <w:ind w:left="1418"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"/>
        <w:numPr>
          <w:ilvl w:val="2"/>
          <w:numId w:val="33"/>
        </w:numPr>
        <w:tabs>
          <w:tab w:val="clear" w:pos="709"/>
          <w:tab w:val="left" w:pos="993" w:leader="none"/>
        </w:tabs>
        <w:spacing w:lineRule="auto" w:line="240"/>
        <w:rPr>
          <w:rFonts w:eastAsia="TimesNewRomanPS-BoldMT"/>
        </w:rPr>
      </w:pPr>
      <w:bookmarkStart w:id="219" w:name="_Toc107492668"/>
      <w:r>
        <w:rPr/>
        <w:t>Технические обоснования основных мероприятий по реализации схем водоотведения</w:t>
      </w:r>
      <w:bookmarkEnd w:id="219"/>
    </w:p>
    <w:p>
      <w:pPr>
        <w:pStyle w:val="Normal"/>
        <w:spacing w:before="0" w:after="0"/>
        <w:rPr/>
      </w:pPr>
      <w:r>
        <w:rPr/>
        <w:t xml:space="preserve">На момент разработки настоящей схемы централизованная система водоотведения на территории Чугуевского муниципального округа организована в с. Чугуевка, с. Новочугуевка. В остальных населенных пунктах система водоотведения представлена выгребными ямами и септиками. На перспективу предусматривается развитие системы бытовой канализации в Чугуевском муниципальном округе. Для этого, в населенных пунктах необходимо строительство новых сетей канализации (самотечные и напорно-самотечные), строительство локальных очистных сооружений и сооружений полной биологической очистки поступающих стоков, строительство канализационных насосных станций, развитие системы ливневой канализации. Сведения о количестве и составе сооружений необходимо уточнить на этапе проектирования и составлении проектно-сметной документации. </w:t>
      </w:r>
    </w:p>
    <w:p>
      <w:pPr>
        <w:pStyle w:val="2"/>
        <w:numPr>
          <w:ilvl w:val="2"/>
          <w:numId w:val="33"/>
        </w:numPr>
        <w:tabs>
          <w:tab w:val="clear" w:pos="709"/>
          <w:tab w:val="left" w:pos="993" w:leader="none"/>
        </w:tabs>
        <w:spacing w:lineRule="auto" w:line="240"/>
        <w:rPr>
          <w:rFonts w:eastAsia="TimesNewRomanPS-BoldMT"/>
        </w:rPr>
      </w:pPr>
      <w:bookmarkStart w:id="220" w:name="_Toc107492669"/>
      <w:r>
        <w:rPr/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20"/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 xml:space="preserve">Подключение новых абонентов на территориях перспективной застройки предполагает строительство новых канализационных сетей. </w:t>
      </w:r>
    </w:p>
    <w:p>
      <w:pPr>
        <w:pStyle w:val="Normal"/>
        <w:spacing w:before="0" w:after="120"/>
        <w:rPr>
          <w:szCs w:val="24"/>
        </w:rPr>
      </w:pPr>
      <w:r>
        <w:rPr>
          <w:szCs w:val="24"/>
        </w:rPr>
        <w:t xml:space="preserve">Строительство современной системы отведения стоков при грамотной эксплуатации позволит своевременно отводить сточные воды, не допуская аварийных ситуаций со сбросом неочищенного стока в водные объекты, что, в свою очередь, позволит избежать загрязнения окружающей среды. </w:t>
      </w:r>
    </w:p>
    <w:p>
      <w:pPr>
        <w:pStyle w:val="ListParagraph"/>
        <w:spacing w:lineRule="auto" w:line="276" w:before="0" w:after="120"/>
        <w:ind w:left="0" w:firstLine="851"/>
        <w:contextualSpacing w:val="false"/>
        <w:jc w:val="both"/>
        <w:rPr>
          <w:sz w:val="24"/>
        </w:rPr>
      </w:pPr>
      <w:r>
        <w:rPr>
          <w:sz w:val="24"/>
        </w:rPr>
        <w:t>Действующие объекты централизованной системы водоотведения выводить из эксплуатации не планируется.</w:t>
      </w:r>
    </w:p>
    <w:p>
      <w:pPr>
        <w:pStyle w:val="2"/>
        <w:numPr>
          <w:ilvl w:val="2"/>
          <w:numId w:val="33"/>
        </w:numPr>
        <w:tabs>
          <w:tab w:val="clear" w:pos="709"/>
          <w:tab w:val="left" w:pos="993" w:leader="none"/>
        </w:tabs>
        <w:spacing w:lineRule="auto" w:line="240"/>
        <w:rPr>
          <w:rFonts w:eastAsia="TimesNewRomanPS-BoldMT"/>
        </w:rPr>
      </w:pPr>
      <w:bookmarkStart w:id="221" w:name="_Toc107492670"/>
      <w:r>
        <w:rPr/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21"/>
    </w:p>
    <w:p>
      <w:pPr>
        <w:pStyle w:val="Normal"/>
        <w:rPr>
          <w:highlight w:val="yellow"/>
        </w:rPr>
      </w:pPr>
      <w:r>
        <w:rPr/>
        <w:t xml:space="preserve">Установка систем диспетчеризации, телемеханизации и автоматизированных системах управления режимами водоотведения имеет значительный технологический и экономический эффект. На данный момент наиболее актуальным является автоматизация и диспетчеризация канализационных насосных станций. </w:t>
      </w:r>
    </w:p>
    <w:p>
      <w:pPr>
        <w:pStyle w:val="Normal"/>
        <w:rPr/>
      </w:pPr>
      <w:r>
        <w:rPr/>
        <w:t xml:space="preserve">Система диспетчеризации канализационно-насосных станций предназначена для автоматического, ручного или дистанционного управления оборудованием КНС, контроля состояния оборудования и технологических параметров с центрального (или локального) диспетчерского пункта посредством кабельной линии связи или GSM канала, а также трансляции основных параметров работы на удаленный пульт диспетчерской сигнализации. </w:t>
      </w:r>
    </w:p>
    <w:p>
      <w:pPr>
        <w:pStyle w:val="Normal"/>
        <w:spacing w:before="0" w:after="0"/>
        <w:rPr/>
      </w:pPr>
      <w:r>
        <w:rPr/>
        <w:t xml:space="preserve">Система диспетчеризации КНС обеспечивает выполнение следующих функций: </w:t>
      </w:r>
    </w:p>
    <w:p>
      <w:pPr>
        <w:pStyle w:val="29"/>
        <w:numPr>
          <w:ilvl w:val="0"/>
          <w:numId w:val="36"/>
        </w:numPr>
        <w:suppressAutoHyphens w:val="true"/>
        <w:spacing w:lineRule="auto" w:line="276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состояния уровня стоков; </w:t>
      </w:r>
    </w:p>
    <w:p>
      <w:pPr>
        <w:pStyle w:val="29"/>
        <w:numPr>
          <w:ilvl w:val="0"/>
          <w:numId w:val="36"/>
        </w:numPr>
        <w:suppressAutoHyphens w:val="true"/>
        <w:spacing w:lineRule="auto" w:line="276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автоматическое, ручное или дистанционное управление насосами КНС в соответствии с измеренным уровнем стоков и индивидуальными установками работы каждого насоса, при этом имеется возможность автоматической смены установок для соблюдения равномерности использования насосов; </w:t>
      </w:r>
    </w:p>
    <w:p>
      <w:pPr>
        <w:pStyle w:val="29"/>
        <w:numPr>
          <w:ilvl w:val="0"/>
          <w:numId w:val="36"/>
        </w:numPr>
        <w:suppressAutoHyphens w:val="true"/>
        <w:spacing w:lineRule="auto" w:line="276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уровня наполнения дренажного приямка и управление дренажным насосом; </w:t>
      </w:r>
    </w:p>
    <w:p>
      <w:pPr>
        <w:pStyle w:val="29"/>
        <w:numPr>
          <w:ilvl w:val="0"/>
          <w:numId w:val="36"/>
        </w:numPr>
        <w:suppressAutoHyphens w:val="true"/>
        <w:spacing w:lineRule="auto" w:line="276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функцию пожарной сигнализации; </w:t>
      </w:r>
    </w:p>
    <w:p>
      <w:pPr>
        <w:pStyle w:val="29"/>
        <w:numPr>
          <w:ilvl w:val="0"/>
          <w:numId w:val="36"/>
        </w:numPr>
        <w:suppressAutoHyphens w:val="true"/>
        <w:spacing w:lineRule="auto" w:line="276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функцию охранной сигнализации; </w:t>
      </w:r>
    </w:p>
    <w:p>
      <w:pPr>
        <w:pStyle w:val="29"/>
        <w:numPr>
          <w:ilvl w:val="0"/>
          <w:numId w:val="36"/>
        </w:numPr>
        <w:suppressAutoHyphens w:val="true"/>
        <w:spacing w:lineRule="auto" w:line="276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звуковой и световой сигнализации при возникновении аварийных ситуаций;</w:t>
      </w:r>
    </w:p>
    <w:p>
      <w:pPr>
        <w:pStyle w:val="29"/>
        <w:numPr>
          <w:ilvl w:val="0"/>
          <w:numId w:val="36"/>
        </w:numPr>
        <w:suppressAutoHyphens w:val="true"/>
        <w:spacing w:lineRule="auto" w:line="276" w:before="0" w:after="12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немедленную передачу аварийной информации на пульт диспетчерской сигнализации и в центральный диспетчерский пункт.</w:t>
      </w:r>
    </w:p>
    <w:p>
      <w:pPr>
        <w:pStyle w:val="Normal"/>
        <w:spacing w:before="0" w:after="120"/>
        <w:rPr/>
      </w:pPr>
      <w:r>
        <w:rPr/>
        <w:t>В населенных пунктах Чугуевского муниципального округа, где предусматривается дальнейшая модернизация и новое строительство системы централизованного водоотведения,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насосных станций и очистных сооружений.</w:t>
      </w:r>
    </w:p>
    <w:p>
      <w:pPr>
        <w:pStyle w:val="2"/>
        <w:numPr>
          <w:ilvl w:val="2"/>
          <w:numId w:val="33"/>
        </w:numPr>
        <w:tabs>
          <w:tab w:val="clear" w:pos="709"/>
          <w:tab w:val="left" w:pos="993" w:leader="none"/>
        </w:tabs>
        <w:spacing w:lineRule="auto" w:line="240"/>
        <w:rPr>
          <w:rFonts w:eastAsia="TimesNewRomanPS-BoldMT"/>
        </w:rPr>
      </w:pPr>
      <w:bookmarkStart w:id="222" w:name="_Toc107492671"/>
      <w:r>
        <w:rPr/>
        <w:t>Сведения о вновь строящихся, реконструируемых и предлагаемых к выводу из эксплуатации объектах централизованной системы водоотведения, описание вариантов маршрутов прохождения трубопроводов (трасс) потерритории Чугуевского муниципального округа, расположения намечаемых площадок под строительство сооружений водоотведения и их обоснование</w:t>
      </w:r>
      <w:bookmarkEnd w:id="222"/>
    </w:p>
    <w:p>
      <w:pPr>
        <w:pStyle w:val="Normal"/>
        <w:rPr>
          <w:szCs w:val="24"/>
        </w:rPr>
      </w:pPr>
      <w:r>
        <w:rPr>
          <w:szCs w:val="24"/>
        </w:rPr>
        <w:t>Схема водоотведения Чугуевского муниципального округа в электронном варианте в виде карты прилагается. Все проектируемые канализационные коллекторы на чертеже привязаны условно. Место размещения определить на стадии выбора участка.</w:t>
      </w:r>
    </w:p>
    <w:p>
      <w:pPr>
        <w:pStyle w:val="2"/>
        <w:numPr>
          <w:ilvl w:val="2"/>
          <w:numId w:val="33"/>
        </w:numPr>
        <w:tabs>
          <w:tab w:val="clear" w:pos="709"/>
          <w:tab w:val="left" w:pos="993" w:leader="none"/>
        </w:tabs>
        <w:spacing w:lineRule="auto" w:line="240"/>
        <w:rPr>
          <w:rFonts w:eastAsia="TimesNewRomanPS-BoldMT"/>
        </w:rPr>
      </w:pPr>
      <w:bookmarkStart w:id="223" w:name="_Toc107492672"/>
      <w:r>
        <w:rPr/>
        <w:t>Границы и характеристики охранных зон сетей и сооружений централизованной системы водоотведения</w:t>
      </w:r>
      <w:bookmarkEnd w:id="223"/>
    </w:p>
    <w:p>
      <w:pPr>
        <w:pStyle w:val="Normal"/>
        <w:rPr/>
      </w:pPr>
      <w:r>
        <w:rPr/>
        <w:t xml:space="preserve">Планировка и застройка муниципального округа, необходимо предусмотреть охранные зоны магистральных инженерных сетей. Для сетевых сооружений канализации на уличных проездах и др. открытых территориях, а также находящихся на территориях абонентов устанавливается следующая охранная зона: - для сетей диаметром менее 600 мм - 10-метровая зона, по 5 м в обе стороны от наружной стенки трубопроводов или от выступающих частей здания, сооружения; Проектирование комплексного благоустройства на территориях транспортных и инженерных коммуникаций </w:t>
      </w:r>
      <w:r>
        <w:rPr>
          <w:szCs w:val="24"/>
        </w:rPr>
        <w:t>Чугуевского муниципального округа</w:t>
      </w:r>
      <w:r>
        <w:rPr/>
        <w:t xml:space="preserve"> следует вести с учетом установленных требований, обеспечивая условия безопасности населения и защиту прилегающих территорий от воздействия транспорта и инженерных коммуникаций. </w:t>
      </w:r>
    </w:p>
    <w:p>
      <w:pPr>
        <w:pStyle w:val="Normal"/>
        <w:rPr/>
      </w:pPr>
      <w:r>
        <w:rPr/>
        <w:t>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повреждений. Сети, прокладываемые надземно, при любых способах компенсации температурных деформаций трубопроводов надлежит прокладывать ближе к поверхности земли в слое снежного покрова.</w:t>
      </w:r>
    </w:p>
    <w:p>
      <w:pPr>
        <w:pStyle w:val="Normal"/>
        <w:rPr/>
      </w:pPr>
      <w:r>
        <w:rPr/>
        <w:t>Охранная зона канализационных коллекторов – это территории, прилегающие к проложенным в земле сетям, на расстоянии 5 метров в обе стороны от трубопроводов отсутствуют строения, зеленые насаждения и водные объекты, что позволяет безопасно эксплуатировать данные объекты.</w:t>
      </w:r>
    </w:p>
    <w:p>
      <w:pPr>
        <w:pStyle w:val="Normal"/>
        <w:rPr/>
      </w:pPr>
      <w:r>
        <w:rPr/>
        <w:t xml:space="preserve">Санитарно-защитные зоны для канализационных очистных сооружений и насосных станций организована согласно с требованиями СанПиН 2.2.1/2.1.1.1200 -03 и приведены в таблице </w:t>
      </w:r>
      <w:r>
        <w:rPr>
          <w:szCs w:val="24"/>
        </w:rPr>
        <w:t>2.</w:t>
      </w:r>
      <w:r>
        <w:rPr/>
        <w:t>5.2.</w:t>
      </w:r>
    </w:p>
    <w:p>
      <w:pPr>
        <w:pStyle w:val="Normal"/>
        <w:rPr/>
      </w:pPr>
      <w:r>
        <w:rPr/>
        <w:t>Санитарно-защитные зоны от очистных сооружений поверхностного стока открытого типа до жилой территории следует принимать 100 м, закрытого типа - 50 м. Кроме того, устанавливаются санитарно-защитные зоны: − от сливных станций − 300 м.</w:t>
      </w:r>
    </w:p>
    <w:p>
      <w:pPr>
        <w:pStyle w:val="Normal"/>
        <w:keepNext w:val="true"/>
        <w:jc w:val="right"/>
        <w:rPr/>
      </w:pPr>
      <w:r>
        <w:rPr/>
        <w:t xml:space="preserve">Таблица </w:t>
      </w:r>
      <w:r>
        <w:rPr>
          <w:szCs w:val="24"/>
        </w:rPr>
        <w:t>2.</w:t>
      </w:r>
      <w:r>
        <w:rPr/>
        <w:t>5.2</w:t>
      </w:r>
    </w:p>
    <w:tbl>
      <w:tblPr>
        <w:tblW w:w="5000" w:type="pct"/>
        <w:jc w:val="left"/>
        <w:tblInd w:w="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noHBand="0" w:noVBand="1" w:firstColumn="1" w:lastRow="0" w:lastColumn="0" w:firstRow="1"/>
      </w:tblPr>
      <w:tblGrid>
        <w:gridCol w:w="4821"/>
        <w:gridCol w:w="1344"/>
        <w:gridCol w:w="1345"/>
        <w:gridCol w:w="1345"/>
        <w:gridCol w:w="1350"/>
      </w:tblGrid>
      <w:tr>
        <w:trPr>
          <w:tblHeader w:val="true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>Сооружения для очистки сточных вод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>Расстояние в м при расчетной производительности очистных сооружений в тыс. м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 сутки</w:t>
            </w:r>
          </w:p>
        </w:tc>
      </w:tr>
      <w:tr>
        <w:trPr>
          <w:tblHeader w:val="true"/>
        </w:trPr>
        <w:tc>
          <w:tcPr>
            <w:tcW w:w="4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>до 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>более 0,2 до 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>более 5,0 до 50,0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>более 50,0 до 280</w:t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jc w:val="left"/>
              <w:rPr/>
            </w:pPr>
            <w:r>
              <w:rPr/>
              <w:t>Насосные станции и аварийно-регулирующие резервуары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/>
            </w:pPr>
            <w:r>
              <w:rPr/>
              <w:t>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/>
            </w:pPr>
            <w:r>
              <w:rPr/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/>
            </w:pPr>
            <w:r>
              <w:rPr/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keepNext w:val="true"/>
              <w:widowControl w:val="false"/>
              <w:rPr/>
            </w:pPr>
            <w:r>
              <w:rPr/>
              <w:t>30</w:t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Сооружения для механической и биологической очистки с иловыми площадками для сброшенных осадков, а также иловые площадки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150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500</w:t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150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400</w:t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Поля: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а) фильтрации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1000</w:t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б) орошения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150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1000</w:t>
            </w:r>
          </w:p>
        </w:tc>
      </w:tr>
      <w:tr>
        <w:trPr/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jc w:val="left"/>
              <w:rPr/>
            </w:pPr>
            <w:r>
              <w:rPr/>
              <w:t>Биологические пруды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6"/>
              <w:widowControl w:val="false"/>
              <w:rPr/>
            </w:pPr>
            <w:r>
              <w:rPr/>
              <w:t>300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szCs w:val="24"/>
        </w:rPr>
      </w:pPr>
      <w:r>
        <w:rPr/>
        <w:t xml:space="preserve">В </w:t>
      </w:r>
      <w:r>
        <w:rPr>
          <w:szCs w:val="24"/>
        </w:rPr>
        <w:t>Чугуевском муниципальном округе</w:t>
      </w:r>
      <w:r>
        <w:rPr/>
        <w:t xml:space="preserve"> проектируемый выпуск очищенных сточных вод осуществляется в водный объект. Санитарная защитная зона ОСК – 150-300 м.</w:t>
      </w:r>
    </w:p>
    <w:p>
      <w:pPr>
        <w:pStyle w:val="2"/>
        <w:numPr>
          <w:ilvl w:val="2"/>
          <w:numId w:val="33"/>
        </w:numPr>
        <w:tabs>
          <w:tab w:val="clear" w:pos="709"/>
          <w:tab w:val="left" w:pos="993" w:leader="none"/>
        </w:tabs>
        <w:spacing w:lineRule="auto" w:line="240"/>
        <w:rPr>
          <w:rFonts w:eastAsia="TimesNewRomanPS-BoldMT"/>
        </w:rPr>
      </w:pPr>
      <w:bookmarkStart w:id="224" w:name="_Toc107492673"/>
      <w:r>
        <w:rPr/>
        <w:t>Границы планируемых зон размещения объектов централизованной системы водоотведения</w:t>
      </w:r>
      <w:bookmarkEnd w:id="224"/>
    </w:p>
    <w:p>
      <w:pPr>
        <w:pStyle w:val="Normal"/>
        <w:rPr>
          <w:szCs w:val="24"/>
        </w:rPr>
      </w:pPr>
      <w:r>
        <w:rPr>
          <w:szCs w:val="24"/>
        </w:rPr>
        <w:t>Схема водоотведения Чугуевского муниципального округа в электронном варианте в виде карты прилагается. Все проектируемые очистные сооружения и объекты системы водоотведения на чертеже привязаны условно. Место размещения определить на стадии выбора участка.</w:t>
      </w:r>
    </w:p>
    <w:p>
      <w:pPr>
        <w:pStyle w:val="Normal"/>
        <w:spacing w:lineRule="auto" w:line="240" w:before="0" w:after="0"/>
        <w:ind w:hanging="0"/>
        <w:jc w:val="left"/>
        <w:rPr>
          <w:rFonts w:eastAsia="TimesNewRomanPS-BoldMT"/>
          <w:b/>
          <w:b/>
          <w:bCs/>
          <w:szCs w:val="26"/>
        </w:rPr>
      </w:pPr>
      <w:r>
        <w:rPr>
          <w:rFonts w:eastAsia="TimesNewRomanPS-BoldMT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225" w:name="_Toc107492674"/>
      <w:r>
        <w:rPr>
          <w:rFonts w:eastAsia="TimesNewRomanPS-BoldMT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25"/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226" w:name="_Toc375685339"/>
      <w:bookmarkStart w:id="227" w:name="_Toc375649485"/>
      <w:bookmarkStart w:id="228" w:name="_Toc375684311"/>
      <w:bookmarkStart w:id="229" w:name="_Toc107492675"/>
      <w:bookmarkEnd w:id="226"/>
      <w:bookmarkEnd w:id="227"/>
      <w:bookmarkEnd w:id="228"/>
      <w:r>
        <w:rPr>
          <w:rFonts w:eastAsia="TimesNewRomanPS-BoldMT"/>
          <w:iCs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29"/>
    </w:p>
    <w:p>
      <w:pPr>
        <w:pStyle w:val="Normal"/>
        <w:rPr/>
      </w:pPr>
      <w:r>
        <w:rPr/>
        <w:t xml:space="preserve">Планируемые к выполнению в рамках данной схемы водоснабжения и водоотведения мероприятия по строительству,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объекты, подземные водные объекты и на водозаборные площади. </w:t>
      </w:r>
    </w:p>
    <w:p>
      <w:pPr>
        <w:pStyle w:val="Normal"/>
        <w:rPr/>
      </w:pPr>
      <w:r>
        <w:rPr/>
        <w:t>Реализация данных мероприятий не вызовет негативного воздействия на водные биоресурсы и среду их обитания и не обусловит наличие непредотвращаемого ущерба водным биоресурсам и среде их обитания.</w:t>
      </w:r>
    </w:p>
    <w:p>
      <w:pPr>
        <w:pStyle w:val="Normal"/>
        <w:rPr/>
      </w:pPr>
      <w:r>
        <w:rPr/>
        <w:t>Целью мероприятий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>
      <w:pPr>
        <w:pStyle w:val="Normal"/>
        <w:rPr/>
      </w:pPr>
      <w:r>
        <w:rPr/>
        <w:t>Актуальность проблемы охраны водных ресурсов продиктована все возрастающей экологической нагрузкой, как на поверхностные водные источники, так и на подземные водоносные горизонты, являющиеся источником питьевого водоснабжения, и включают следующие аспекты:</w:t>
      </w:r>
    </w:p>
    <w:p>
      <w:pPr>
        <w:pStyle w:val="Normal"/>
        <w:rPr/>
      </w:pPr>
      <w:r>
        <w:rPr/>
        <w:t>˗</w:t>
        <w:tab/>
        <w:t>обеспечение населения качественной водой в необходимых количествах;</w:t>
      </w:r>
    </w:p>
    <w:p>
      <w:pPr>
        <w:pStyle w:val="Normal"/>
        <w:rPr/>
      </w:pPr>
      <w:r>
        <w:rPr/>
        <w:t>˗</w:t>
        <w:tab/>
        <w:t>рациональное использование водных ресурсов;</w:t>
      </w:r>
    </w:p>
    <w:p>
      <w:pPr>
        <w:pStyle w:val="Normal"/>
        <w:rPr/>
      </w:pPr>
      <w:r>
        <w:rPr/>
        <w:t>˗</w:t>
        <w:tab/>
        <w:t>предотвращение загрязнения водоёмов;</w:t>
      </w:r>
    </w:p>
    <w:p>
      <w:pPr>
        <w:pStyle w:val="Normal"/>
        <w:rPr/>
      </w:pPr>
      <w:r>
        <w:rPr/>
        <w:t>˗</w:t>
        <w:tab/>
        <w:t>соблюдение специальных режимов на территориях санитарной охраны водных источников и водоохранных зонах водоёмов;</w:t>
      </w:r>
    </w:p>
    <w:p>
      <w:pPr>
        <w:pStyle w:val="Normal"/>
        <w:rPr/>
      </w:pPr>
      <w:r>
        <w:rPr/>
        <w:t>˗</w:t>
        <w:tab/>
        <w:t>действенный контроль над использованием водных ресурсов и их качеством;</w:t>
      </w:r>
    </w:p>
    <w:p>
      <w:pPr>
        <w:pStyle w:val="Normal"/>
        <w:rPr/>
      </w:pPr>
      <w:r>
        <w:rPr/>
        <w:t>˗</w:t>
        <w:tab/>
        <w:t>борьба с негативными воздействиями водных объектов.</w:t>
      </w:r>
    </w:p>
    <w:p>
      <w:pPr>
        <w:pStyle w:val="Normal"/>
        <w:rPr/>
      </w:pPr>
      <w:r>
        <w:rPr/>
        <w:t>Основными документами, регулирующими отношения в области использования природных ресурсов и охраны окружающей среды, в том числе и водных ресурсов, являются Закон РФ «Об охране окружающей среды» от 10.01.2002 г. и Водный кодекс РФ от 03.06.2006г. №74-ФЗ.</w:t>
      </w:r>
    </w:p>
    <w:p>
      <w:pPr>
        <w:pStyle w:val="2"/>
        <w:numPr>
          <w:ilvl w:val="2"/>
          <w:numId w:val="33"/>
        </w:numPr>
        <w:spacing w:lineRule="auto" w:line="240"/>
        <w:rPr>
          <w:rFonts w:eastAsia="TimesNewRomanPS-BoldMT"/>
        </w:rPr>
      </w:pPr>
      <w:bookmarkStart w:id="230" w:name="_Toc107492676"/>
      <w:r>
        <w:rPr/>
        <w:t>Сведения о применении методов, безопасных для окружающей среды, при утилизации осадков сточных вод</w:t>
      </w:r>
      <w:bookmarkEnd w:id="230"/>
    </w:p>
    <w:p>
      <w:pPr>
        <w:pStyle w:val="Normal"/>
        <w:rPr/>
      </w:pPr>
      <w:r>
        <w:rPr/>
        <w:t xml:space="preserve">Традиционные физико-химические методы переработки сточных вод приводят к образованию значительного количества твердых отходов. Некоторая их часть накапливается уже на первичной стадии осаждения, а остальные обусловлены приростом биомассы за счет биологического окисления углеродсодержащих компонентов в сточных водах. Твердые отходы изначально существуют в виде различных суспензий с содержанием твердых компонентов от 1 до 10%. По этой причине процессам выделения, переработки и ликвидации ила стоков следует уделять особое внимание при проектировании и эксплуатации любого предприятия по переработке сточных вод. </w:t>
      </w:r>
    </w:p>
    <w:p>
      <w:pPr>
        <w:pStyle w:val="Normal"/>
        <w:rPr/>
      </w:pPr>
      <w:r>
        <w:rPr/>
        <w:t>Осадки очистных сооружений с учетом уровня их загрязнения могут быть утилизированы следующими способами: термофильным сбраживанием в метантенках, высушиванием, пастеризацией, обработкой гашеной известью и в радиационных установках, сжиганием, пиролизом, электролизом, получением активированных углей (сорбентов), захоронением, выдерживанием на иловых площадках, использованием как добавки при производстве керамзита, обработкой специальными реагентами с последующей утилизацией, компостированием, вермикомпостированием.</w:t>
      </w:r>
    </w:p>
    <w:p>
      <w:pPr>
        <w:pStyle w:val="Normal"/>
        <w:spacing w:before="0" w:after="60"/>
        <w:rPr/>
      </w:pPr>
      <w:r>
        <w:rPr/>
        <w:t xml:space="preserve">В случае, если стоки после полной биологической очистки не соответствуют нормам СанПиН по показателям сброса, необходимо предусматривать доочистку сточных вод: коагуляция, отстаивание, фильтрование на кварцевых фильтрах, хлорирование или обработка очищенных стоков УФ.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eastAsia="TimesNewRomanPS-BoldMT"/>
          <w:b/>
          <w:b/>
          <w:bCs/>
          <w:szCs w:val="26"/>
        </w:rPr>
      </w:pPr>
      <w:r>
        <w:rPr>
          <w:rFonts w:eastAsia="TimesNewRomanPS-BoldMT"/>
          <w:b/>
          <w:bCs/>
          <w:szCs w:val="26"/>
        </w:rPr>
      </w:r>
    </w:p>
    <w:p>
      <w:pPr>
        <w:pStyle w:val="Normal"/>
        <w:spacing w:lineRule="auto" w:line="240" w:before="0" w:after="0"/>
        <w:ind w:hanging="0"/>
        <w:jc w:val="left"/>
        <w:rPr>
          <w:rFonts w:eastAsia="TimesNewRomanPS-BoldMT"/>
          <w:b/>
          <w:b/>
          <w:bCs/>
          <w:szCs w:val="26"/>
        </w:rPr>
      </w:pPr>
      <w:r>
        <w:rPr>
          <w:rFonts w:eastAsia="TimesNewRomanPS-BoldMT"/>
          <w:b/>
          <w:bCs/>
          <w:szCs w:val="26"/>
        </w:rPr>
      </w:r>
      <w:r>
        <w:br w:type="page"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231" w:name="_Toc107492677"/>
      <w:r>
        <w:rPr>
          <w:rFonts w:eastAsia="TimesNewRomanPS-BoldMT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31"/>
    </w:p>
    <w:p>
      <w:pPr>
        <w:pStyle w:val="Normal"/>
        <w:spacing w:before="240" w:after="0"/>
        <w:rPr/>
      </w:pPr>
      <w:r>
        <w:rPr/>
        <w:t xml:space="preserve">Мероприятия развития и модернизации системы водоотведения Чугуевского муниципального округа представлены в таблице </w:t>
      </w:r>
      <w:r>
        <w:rPr>
          <w:szCs w:val="24"/>
        </w:rPr>
        <w:t>2.</w:t>
      </w:r>
      <w:r>
        <w:rPr/>
        <w:t>7.1.</w:t>
      </w:r>
    </w:p>
    <w:p>
      <w:pPr>
        <w:pStyle w:val="Normal"/>
        <w:spacing w:before="0" w:after="120"/>
        <w:ind w:hanging="0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1134" w:right="567" w:gutter="0" w:header="709" w:top="766" w:footer="709" w:bottom="766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9"/>
          <w:tab w:val="left" w:pos="2850" w:leader="none"/>
        </w:tabs>
        <w:rPr/>
      </w:pPr>
      <w:r>
        <w:rPr/>
        <w:tab/>
      </w:r>
    </w:p>
    <w:p>
      <w:pPr>
        <w:pStyle w:val="Normal"/>
        <w:spacing w:before="0" w:after="120"/>
        <w:ind w:hanging="0"/>
        <w:jc w:val="right"/>
        <w:rPr/>
      </w:pPr>
      <w:r>
        <w:rPr/>
        <w:t xml:space="preserve">Таблица </w:t>
      </w:r>
      <w:r>
        <w:rPr>
          <w:szCs w:val="24"/>
        </w:rPr>
        <w:t>2.</w:t>
      </w:r>
      <w:r>
        <w:rPr/>
        <w:t>7.1</w:t>
      </w:r>
    </w:p>
    <w:tbl>
      <w:tblPr>
        <w:tblW w:w="47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4"/>
        <w:gridCol w:w="3149"/>
        <w:gridCol w:w="2679"/>
        <w:gridCol w:w="1146"/>
        <w:gridCol w:w="604"/>
        <w:gridCol w:w="605"/>
        <w:gridCol w:w="647"/>
        <w:gridCol w:w="850"/>
        <w:gridCol w:w="683"/>
        <w:gridCol w:w="605"/>
        <w:gridCol w:w="605"/>
        <w:gridCol w:w="604"/>
        <w:gridCol w:w="723"/>
        <w:gridCol w:w="850"/>
        <w:gridCol w:w="874"/>
      </w:tblGrid>
      <w:tr>
        <w:trPr>
          <w:trHeight w:val="230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Технические мероприятия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(объем, протяженность и пр.)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кап, вложений, тыс. руб.</w:t>
            </w:r>
          </w:p>
        </w:tc>
        <w:tc>
          <w:tcPr>
            <w:tcW w:w="7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Капитальные вложения*, тыс. руб.</w:t>
            </w:r>
          </w:p>
        </w:tc>
      </w:tr>
      <w:tr>
        <w:trPr>
          <w:trHeight w:val="701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>
        <w:trPr>
          <w:trHeight w:val="240" w:hRule="atLeast"/>
        </w:trPr>
        <w:tc>
          <w:tcPr>
            <w:tcW w:w="151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Строительство, реконструкция и модернизация оборудования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Приведение качества сбрасываемых сточных вод в соответствии с установленными требованиями в с. Чугуевка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н/д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szCs w:val="22"/>
              </w:rPr>
            </w:pPr>
            <w:r>
              <w:rPr>
                <w:szCs w:val="22"/>
              </w:rPr>
              <w:t>Приведение качества сбрасываемых сточных вод в соответствии с установленными требованиями в с. Новочугуевка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н/д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51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Строительство, реконструкция и модернизация сетей водоотведения</w:t>
            </w:r>
          </w:p>
        </w:tc>
      </w:tr>
      <w:tr>
        <w:trPr>
          <w:trHeight w:val="471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Мероприятия отсутствуют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9" w:hRule="atLeast"/>
        </w:trPr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</w:t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orient="landscape" w:w="16838" w:h="11906"/>
          <w:pgMar w:left="567" w:right="357" w:gutter="0" w:header="709" w:top="766" w:footer="709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120"/>
        <w:ind w:left="1276" w:right="1172" w:hanging="0"/>
        <w:rPr/>
      </w:pPr>
      <w:r>
        <w:rPr>
          <w:sz w:val="20"/>
          <w:szCs w:val="20"/>
        </w:rPr>
        <w:t>Примечание. Объем инвестиций необходимо уточнять по факту принятия решения о строительстве или реконструкции каждого объекта в индивидуальном порядке. Кроме того, объем средств будет уточняться после доведения лимитов бюджетных обязательств из бюджетов всех уровней на очередной финансовый год плановый период.</w:t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232" w:name="_Toc107492678"/>
      <w:bookmarkStart w:id="233" w:name="_Toc375685346"/>
      <w:bookmarkStart w:id="234" w:name="_Toc375685345"/>
      <w:bookmarkEnd w:id="233"/>
      <w:bookmarkEnd w:id="234"/>
      <w:r>
        <w:rPr>
          <w:rFonts w:eastAsia="TimesNewRomanPS-BoldMT"/>
        </w:rPr>
        <w:t>ПЛАНОВЫЕ ЗНАЧЕНИЯ ПОКАЗАТЕЛЕЙ РАЗВИТИЯ ЦЕНТРАЛИЗОВАННЫХ СИСТЕМ ВОДООТВЕДЕНИЯ</w:t>
      </w:r>
      <w:bookmarkEnd w:id="232"/>
    </w:p>
    <w:p>
      <w:pPr>
        <w:pStyle w:val="Normal"/>
        <w:rPr/>
      </w:pPr>
      <w:r>
        <w:rPr/>
        <w:t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плановым показателям развития централизованных систем водоотведения относятся:</w:t>
      </w:r>
    </w:p>
    <w:p>
      <w:pPr>
        <w:pStyle w:val="Normal"/>
        <w:rPr/>
      </w:pPr>
      <w:r>
        <w:rPr/>
        <w:t>- показатели надежности и бесперебойности водоотведения;</w:t>
      </w:r>
    </w:p>
    <w:p>
      <w:pPr>
        <w:pStyle w:val="Normal"/>
        <w:rPr/>
      </w:pPr>
      <w:r>
        <w:rPr/>
        <w:t>- показатели очистки сточных вод;</w:t>
      </w:r>
    </w:p>
    <w:p>
      <w:pPr>
        <w:pStyle w:val="Normal"/>
        <w:rPr/>
      </w:pPr>
      <w:r>
        <w:rPr/>
        <w:t>- показатели эффективности использования ресурсов при транспортировке сточных вод;</w:t>
      </w:r>
    </w:p>
    <w:p>
      <w:pPr>
        <w:pStyle w:val="Normal"/>
        <w:rPr/>
      </w:pPr>
      <w:r>
        <w:rPr/>
        <w:t xml:space="preserve"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 </w:t>
      </w:r>
    </w:p>
    <w:p>
      <w:pPr>
        <w:pStyle w:val="Normal"/>
        <w:rPr/>
      </w:pPr>
      <w:r>
        <w:rPr/>
        <w:t>Правила формирования плановых показателей деятельности организаций, осуществляющих водоотведение, и их расчета, перечень плановых показателей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>
      <w:pPr>
        <w:pStyle w:val="Normal"/>
        <w:spacing w:before="0" w:after="0"/>
        <w:rPr/>
      </w:pPr>
      <w:r>
        <w:rPr/>
        <w:t xml:space="preserve">Плановые значения показателей развития централизованной системы водоотведения представлены в таблице </w:t>
      </w:r>
      <w:r>
        <w:rPr>
          <w:szCs w:val="24"/>
        </w:rPr>
        <w:t>2.</w:t>
      </w:r>
      <w:r>
        <w:rPr/>
        <w:t>8.1.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1134" w:right="567" w:gutter="0" w:header="709" w:top="766" w:footer="709" w:bottom="766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Normal"/>
        <w:spacing w:before="0" w:after="120"/>
        <w:ind w:left="788" w:hanging="0"/>
        <w:jc w:val="right"/>
        <w:rPr/>
      </w:pPr>
      <w:r>
        <w:rPr/>
        <w:t xml:space="preserve">Таблица </w:t>
      </w:r>
      <w:r>
        <w:rPr>
          <w:szCs w:val="24"/>
        </w:rPr>
        <w:t>2.</w:t>
      </w:r>
      <w:r>
        <w:rPr/>
        <w:t>8.1</w:t>
      </w:r>
    </w:p>
    <w:p>
      <w:pPr>
        <w:pStyle w:val="Normal"/>
        <w:spacing w:before="0" w:after="120"/>
        <w:ind w:left="788" w:hanging="0"/>
        <w:jc w:val="center"/>
        <w:rPr>
          <w:u w:val="single"/>
        </w:rPr>
      </w:pPr>
      <w:r>
        <w:rPr>
          <w:u w:val="single"/>
        </w:rPr>
        <w:t>Плановые значения показателей развития централизованной системы водоотведения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2534"/>
        <w:gridCol w:w="3740"/>
        <w:gridCol w:w="1132"/>
        <w:gridCol w:w="776"/>
        <w:gridCol w:w="777"/>
        <w:gridCol w:w="778"/>
        <w:gridCol w:w="777"/>
        <w:gridCol w:w="776"/>
        <w:gridCol w:w="777"/>
        <w:gridCol w:w="778"/>
        <w:gridCol w:w="777"/>
        <w:gridCol w:w="767"/>
        <w:gridCol w:w="767"/>
        <w:gridCol w:w="757"/>
      </w:tblGrid>
      <w:tr>
        <w:trPr>
          <w:trHeight w:val="20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Целевые индикаторы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Базовый показатель на 2021 год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>
        <w:trPr>
          <w:trHeight w:val="20" w:hRule="atLeast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b/>
                <w:b/>
                <w:sz w:val="20"/>
              </w:rPr>
            </w:pPr>
            <w:r>
              <w:rPr>
                <w:sz w:val="20"/>
              </w:rPr>
              <w:t>1. Показатели надежности и бесперебойности водоотведения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b/>
                <w:b/>
                <w:sz w:val="20"/>
              </w:rPr>
            </w:pPr>
            <w:r>
              <w:rPr>
                <w:sz w:val="20"/>
              </w:rPr>
              <w:t>1.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77" w:hRule="atLeast"/>
        </w:trPr>
        <w:tc>
          <w:tcPr>
            <w:tcW w:w="2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  <w:t>2. Износ канализационных сетей, 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  <w:t>2. Показатели очистки сточных вод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  <w:t>1. Доля сточных вод, не подвергающихся очистке, в общем объеме сточных вод, сбрасываемых в централизованную бытовую систему водоотведения, 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2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  <w:t>2. Доля проб сточных вод, не соответствующих установленным нормативам допустимых сбросов, лимитам на сбросы для бытовой централизованной системы водоотведения, 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762" w:hRule="atLeast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szCs w:val="20"/>
              </w:rPr>
              <w:t>Показатели эффективности использования ресурсов при транспортировке сточных вод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  <w:t>1. Объем снижения потребления электроэнергии, тыс кВтч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1270" w:hRule="atLeast"/>
        </w:trPr>
        <w:tc>
          <w:tcPr>
            <w:tcW w:w="2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  <w:t>2.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кВт.ч/куб.м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>
        <w:trPr>
          <w:trHeight w:val="1118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  <w:t>4. Иные показатели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</w:rPr>
            </w:pPr>
            <w:r>
              <w:rPr>
                <w:sz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кВт.ч/куб.м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orient="landscape" w:w="16838" w:h="11906"/>
          <w:pgMar w:left="567" w:right="357" w:gutter="0" w:header="709" w:top="766" w:footer="709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120"/>
        <w:ind w:left="788" w:hanging="0"/>
        <w:jc w:val="right"/>
        <w:rPr/>
      </w:pPr>
      <w:r>
        <w:rPr/>
      </w:r>
    </w:p>
    <w:p>
      <w:pPr>
        <w:pStyle w:val="2"/>
        <w:numPr>
          <w:ilvl w:val="1"/>
          <w:numId w:val="33"/>
        </w:numPr>
        <w:rPr>
          <w:rFonts w:eastAsia="TimesNewRomanPS-BoldMT"/>
          <w:szCs w:val="24"/>
        </w:rPr>
      </w:pPr>
      <w:bookmarkStart w:id="235" w:name="_Toc107492679"/>
      <w:r>
        <w:rPr>
          <w:rFonts w:eastAsia="TimesNewRomanPS-BoldMT"/>
        </w:rPr>
        <w:t>ПЕРЕЧЕНЬ ВЫЯВЛЕННЫХ БЕСХОЗНЫХ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35"/>
    </w:p>
    <w:p>
      <w:pPr>
        <w:pStyle w:val="Normal"/>
        <w:rPr>
          <w:szCs w:val="24"/>
        </w:rPr>
      </w:pPr>
      <w:r>
        <w:rPr>
          <w:szCs w:val="24"/>
        </w:rPr>
        <w:t xml:space="preserve">Сведения об объекте, имеющем признаки бесхозяйного, могут поступать: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от исполнительных органов государственной власти Российской Федерации;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субъектов Российской Федерации;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органов местного самоуправления;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 xml:space="preserve">на основании заявлений юридических и физических лиц; </w:t>
      </w:r>
    </w:p>
    <w:p>
      <w:pPr>
        <w:pStyle w:val="ListParagraph"/>
        <w:numPr>
          <w:ilvl w:val="0"/>
          <w:numId w:val="24"/>
        </w:numPr>
        <w:spacing w:lineRule="auto" w:line="276" w:before="0" w:after="120"/>
        <w:ind w:left="993" w:hanging="360"/>
        <w:contextualSpacing/>
        <w:jc w:val="both"/>
        <w:rPr>
          <w:sz w:val="24"/>
        </w:rPr>
      </w:pPr>
      <w:r>
        <w:rPr>
          <w:sz w:val="24"/>
        </w:rPr>
        <w:t>выявляться в ходе осуществления технического обследования централизованных систем.</w:t>
      </w:r>
    </w:p>
    <w:p>
      <w:pPr>
        <w:pStyle w:val="Normal"/>
        <w:rPr>
          <w:szCs w:val="24"/>
        </w:rPr>
      </w:pPr>
      <w:r>
        <w:rPr>
          <w:szCs w:val="24"/>
        </w:rPr>
        <w:t xml:space="preserve">Эксплуатация выявленных бесхозяйных объектов централизованных систем водоотведения, в том числе канализационных сетей, путем эксплуатации которых обеспечивается водоотведение, осуществляется в порядке, установленном Федеральным законом от 07.12.2011 года № 416-ФЗ «О водоснабжении и водоотведении». </w:t>
      </w:r>
    </w:p>
    <w:p>
      <w:pPr>
        <w:pStyle w:val="Normal"/>
        <w:rPr>
          <w:szCs w:val="24"/>
        </w:rPr>
      </w:pPr>
      <w:r>
        <w:rPr>
          <w:szCs w:val="24"/>
        </w:rPr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администрации.</w:t>
      </w:r>
    </w:p>
    <w:p>
      <w:pPr>
        <w:pStyle w:val="Normal"/>
        <w:rPr>
          <w:szCs w:val="24"/>
        </w:rPr>
      </w:pPr>
      <w:r>
        <w:rPr>
          <w:szCs w:val="24"/>
        </w:rPr>
        <w:t>На территории Чугуевского муниципального округа бесхозяйные объекты централизованных систем водоотведения отсутствуют.</w:t>
      </w:r>
    </w:p>
    <w:p>
      <w:pPr>
        <w:pStyle w:val="Normal"/>
        <w:spacing w:lineRule="auto" w:line="240" w:before="0" w:after="0"/>
        <w:rPr>
          <w:b/>
          <w:b/>
          <w:sz w:val="22"/>
        </w:rPr>
      </w:pPr>
      <w:r>
        <w:rPr/>
      </w:r>
    </w:p>
    <w:sectPr>
      <w:headerReference w:type="default" r:id="rId24"/>
      <w:footerReference w:type="default" r:id="rId25"/>
      <w:type w:val="nextPage"/>
      <w:pgSz w:w="11906" w:h="16838"/>
      <w:pgMar w:left="1134" w:right="567" w:gutter="0" w:header="709" w:top="766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MS Reference Sans Serif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Verdana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yle47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89</w:t>
    </w:r>
    <w:r>
      <w:rPr/>
      <w:fldChar w:fldCharType="end"/>
    </w:r>
  </w:p>
  <w:p>
    <w:pPr>
      <w:pStyle w:val="Style47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90</w:t>
    </w:r>
    <w:r>
      <w:rPr/>
      <w:fldChar w:fldCharType="end"/>
    </w:r>
  </w:p>
  <w:p>
    <w:pPr>
      <w:pStyle w:val="Style4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53</w:t>
    </w:r>
    <w:r>
      <w:rPr/>
      <w:fldChar w:fldCharType="end"/>
    </w:r>
  </w:p>
  <w:p>
    <w:pPr>
      <w:pStyle w:val="Style47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54</w:t>
    </w:r>
    <w:r>
      <w:rPr/>
      <w:fldChar w:fldCharType="end"/>
    </w:r>
  </w:p>
  <w:p>
    <w:pPr>
      <w:pStyle w:val="Style47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55</w:t>
    </w:r>
    <w:r>
      <w:rPr/>
      <w:fldChar w:fldCharType="end"/>
    </w:r>
  </w:p>
  <w:p>
    <w:pPr>
      <w:pStyle w:val="Style47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57</w:t>
    </w:r>
    <w:r>
      <w:rPr/>
      <w:fldChar w:fldCharType="end"/>
    </w:r>
  </w:p>
  <w:p>
    <w:pPr>
      <w:pStyle w:val="Style47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85</w:t>
    </w:r>
    <w:r>
      <w:rPr/>
      <w:fldChar w:fldCharType="end"/>
    </w:r>
  </w:p>
  <w:p>
    <w:pPr>
      <w:pStyle w:val="Style47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86</w:t>
    </w:r>
    <w:r>
      <w:rPr/>
      <w:fldChar w:fldCharType="end"/>
    </w:r>
  </w:p>
  <w:p>
    <w:pPr>
      <w:pStyle w:val="Style47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87</w:t>
    </w:r>
    <w:r>
      <w:rPr/>
      <w:fldChar w:fldCharType="end"/>
    </w:r>
  </w:p>
  <w:p>
    <w:pPr>
      <w:pStyle w:val="Style4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46"/>
                            <w:pBdr/>
                            <w:spacing w:before="0" w:after="20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46"/>
                      <w:pBdr/>
                      <w:spacing w:before="0" w:after="20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widowControl/>
      <w:bidi w:val="0"/>
      <w:spacing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i w:val="false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6" w:hanging="504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i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/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6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ascii="Times New Roman" w:hAnsi="Times New Roman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2088"/>
        </w:tabs>
        <w:ind w:left="2088" w:hanging="1008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i w:val="false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6" w:hanging="504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i w:val="false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6" w:hanging="504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i w:val="false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6" w:hanging="504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8"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  <w:lvlOverride w:ilvl="0"/>
    <w:lvlOverride w:ilvl="1"/>
    <w:lvlOverride w:ilvl="2"/>
    <w:lvlOverride w:ilvl="3">
      <w:startOverride w:val="1"/>
    </w:lvlOverride>
  </w:num>
  <w:num w:numId="44">
    <w:abstractNumId w:val="33"/>
  </w:num>
  <w:num w:numId="45">
    <w:abstractNumId w:val="33"/>
  </w:num>
  <w:num w:numId="46">
    <w:abstractNumId w:val="33"/>
  </w:num>
  <w:num w:numId="47">
    <w:abstractNumId w:val="33"/>
  </w:num>
  <w:num w:numId="48">
    <w:abstractNumId w:val="33"/>
  </w:num>
  <w:num w:numId="49">
    <w:abstractNumId w:val="33"/>
  </w:num>
  <w:num w:numId="50">
    <w:abstractNumId w:val="33"/>
  </w:num>
  <w:num w:numId="51">
    <w:abstractNumId w:val="33"/>
  </w:num>
  <w:num w:numId="52">
    <w:abstractNumId w:val="33"/>
  </w:num>
  <w:num w:numId="53">
    <w:abstractNumId w:val="33"/>
  </w:num>
  <w:num w:numId="54">
    <w:abstractNumId w:val="33"/>
  </w:num>
  <w:num w:numId="55">
    <w:abstractNumId w:val="33"/>
  </w:num>
  <w:num w:numId="56">
    <w:abstractNumId w:val="33"/>
  </w:num>
  <w:num w:numId="57">
    <w:abstractNumId w:val="33"/>
  </w:num>
  <w:num w:numId="58">
    <w:abstractNumId w:val="33"/>
  </w:num>
  <w:num w:numId="59">
    <w:abstractNumId w:val="33"/>
  </w:num>
  <w:num w:numId="60">
    <w:abstractNumId w:val="33"/>
  </w:num>
  <w:num w:numId="61">
    <w:abstractNumId w:val="33"/>
  </w:num>
  <w:num w:numId="62">
    <w:abstractNumId w:val="33"/>
  </w:num>
  <w:num w:numId="63">
    <w:abstractNumId w:val="33"/>
  </w:num>
  <w:num w:numId="64">
    <w:abstractNumId w:val="33"/>
  </w:num>
  <w:num w:numId="65">
    <w:abstractNumId w:val="33"/>
  </w:num>
  <w:num w:numId="66">
    <w:abstractNumId w:val="33"/>
  </w:num>
  <w:num w:numId="67">
    <w:abstractNumId w:val="33"/>
  </w:num>
  <w:num w:numId="68">
    <w:abstractNumId w:val="33"/>
  </w:num>
  <w:num w:numId="69">
    <w:abstractNumId w:val="33"/>
  </w:num>
  <w:num w:numId="70">
    <w:abstractNumId w:val="33"/>
  </w:num>
  <w:num w:numId="71">
    <w:abstractNumId w:val="33"/>
  </w:num>
  <w:num w:numId="72">
    <w:abstractNumId w:val="33"/>
  </w:num>
  <w:num w:numId="73">
    <w:abstractNumId w:val="33"/>
  </w:num>
  <w:num w:numId="74">
    <w:abstractNumId w:val="33"/>
  </w:num>
  <w:num w:numId="75">
    <w:abstractNumId w:val="33"/>
  </w:num>
  <w:num w:numId="76">
    <w:abstractNumId w:val="33"/>
  </w:num>
  <w:num w:numId="77">
    <w:abstractNumId w:val="33"/>
  </w:num>
  <w:num w:numId="78">
    <w:abstractNumId w:val="33"/>
  </w:num>
  <w:num w:numId="79">
    <w:abstractNumId w:val="33"/>
    <w:lvlOverride w:ilvl="0"/>
    <w:lvlOverride w:ilvl="1"/>
    <w:lvlOverride w:ilvl="2"/>
    <w:lvlOverride w:ilvl="3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4c1493"/>
    <w:pPr>
      <w:widowControl/>
      <w:suppressAutoHyphens w:val="true"/>
      <w:bidi w:val="0"/>
      <w:spacing w:lineRule="auto" w:line="276" w:before="0" w:after="200"/>
      <w:jc w:val="left"/>
    </w:pPr>
    <w:rPr>
      <w:rFonts w:eastAsia="Arial Unicode MS" w:cs="Calibri" w:ascii="Calibri" w:hAnsi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eb0bb8"/>
    <w:pPr>
      <w:keepNext w:val="true"/>
      <w:keepLines/>
      <w:spacing w:before="480" w:after="0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5f4890"/>
    <w:pPr>
      <w:keepNext w:val="true"/>
      <w:keepLines/>
      <w:numPr>
        <w:ilvl w:val="1"/>
        <w:numId w:val="33"/>
      </w:numPr>
      <w:spacing w:before="200" w:after="200"/>
      <w:outlineLvl w:val="1"/>
    </w:pPr>
    <w:rPr>
      <w:rFonts w:eastAsia="Times New Roman"/>
      <w:b/>
      <w:bCs/>
      <w:szCs w:val="26"/>
    </w:rPr>
  </w:style>
  <w:style w:type="paragraph" w:styleId="3">
    <w:name w:val="Heading 3"/>
    <w:next w:val="Normal"/>
    <w:link w:val="31"/>
    <w:uiPriority w:val="9"/>
    <w:unhideWhenUsed/>
    <w:qFormat/>
    <w:rsid w:val="005b1069"/>
    <w:pPr>
      <w:keepNext w:val="true"/>
      <w:keepLines/>
      <w:widowControl/>
      <w:bidi w:val="0"/>
      <w:spacing w:before="0" w:after="240"/>
      <w:jc w:val="center"/>
      <w:outlineLvl w:val="2"/>
    </w:pPr>
    <w:rPr>
      <w:rFonts w:ascii="Times New Roman" w:hAnsi="Times New Roman" w:eastAsia="Times New Roman" w:cs="Times New Roman"/>
      <w:bCs/>
      <w:i/>
      <w:color w:val="auto"/>
      <w:kern w:val="0"/>
      <w:sz w:val="28"/>
      <w:szCs w:val="24"/>
      <w:lang w:val="ru-RU" w:eastAsia="ru-RU" w:bidi="ar-SA"/>
    </w:rPr>
  </w:style>
  <w:style w:type="paragraph" w:styleId="4">
    <w:name w:val="Heading 4"/>
    <w:basedOn w:val="Normal"/>
    <w:next w:val="Normal"/>
    <w:link w:val="41"/>
    <w:uiPriority w:val="9"/>
    <w:qFormat/>
    <w:rsid w:val="005b1069"/>
    <w:pPr>
      <w:keepNext w:val="true"/>
      <w:spacing w:lineRule="auto" w:line="360" w:before="0" w:after="0"/>
      <w:ind w:hanging="0"/>
      <w:jc w:val="center"/>
      <w:outlineLvl w:val="3"/>
    </w:pPr>
    <w:rPr>
      <w:rFonts w:eastAsia="Times New Roman"/>
      <w:i/>
      <w:iCs/>
      <w:szCs w:val="24"/>
      <w:lang w:eastAsia="ru-RU"/>
    </w:rPr>
  </w:style>
  <w:style w:type="paragraph" w:styleId="5">
    <w:name w:val="Heading 5"/>
    <w:basedOn w:val="Normal"/>
    <w:next w:val="Normal"/>
    <w:link w:val="51"/>
    <w:uiPriority w:val="99"/>
    <w:qFormat/>
    <w:rsid w:val="005b1069"/>
    <w:pPr>
      <w:keepNext w:val="true"/>
      <w:spacing w:lineRule="auto" w:line="240" w:before="0" w:after="0"/>
      <w:ind w:hanging="0"/>
      <w:jc w:val="center"/>
      <w:outlineLvl w:val="4"/>
    </w:pPr>
    <w:rPr>
      <w:rFonts w:eastAsia="Times New Roman"/>
      <w:szCs w:val="24"/>
      <w:u w:val="single"/>
      <w:lang w:eastAsia="ru-RU"/>
    </w:rPr>
  </w:style>
  <w:style w:type="paragraph" w:styleId="6">
    <w:name w:val="Heading 6"/>
    <w:basedOn w:val="Normal"/>
    <w:next w:val="Normal"/>
    <w:link w:val="61"/>
    <w:uiPriority w:val="99"/>
    <w:qFormat/>
    <w:rsid w:val="005b1069"/>
    <w:pPr>
      <w:keepNext w:val="true"/>
      <w:spacing w:lineRule="auto" w:line="360" w:before="0" w:after="0"/>
      <w:ind w:firstLine="709"/>
      <w:jc w:val="center"/>
      <w:outlineLvl w:val="5"/>
    </w:pPr>
    <w:rPr>
      <w:rFonts w:eastAsia="Times New Roman"/>
      <w:bCs/>
      <w:i/>
      <w:iCs/>
      <w:szCs w:val="24"/>
      <w:lang w:eastAsia="ru-RU"/>
    </w:rPr>
  </w:style>
  <w:style w:type="paragraph" w:styleId="7">
    <w:name w:val="Heading 7"/>
    <w:basedOn w:val="Normal"/>
    <w:next w:val="Normal"/>
    <w:link w:val="71"/>
    <w:uiPriority w:val="99"/>
    <w:qFormat/>
    <w:rsid w:val="005b1069"/>
    <w:pPr>
      <w:keepNext w:val="true"/>
      <w:spacing w:lineRule="auto" w:line="240" w:before="0" w:after="0"/>
      <w:ind w:hanging="0"/>
      <w:outlineLvl w:val="6"/>
    </w:pPr>
    <w:rPr>
      <w:rFonts w:eastAsia="Times New Roman"/>
      <w:b/>
      <w:bCs/>
      <w:i/>
      <w:iCs/>
      <w:szCs w:val="24"/>
      <w:lang w:eastAsia="ru-RU"/>
    </w:rPr>
  </w:style>
  <w:style w:type="paragraph" w:styleId="8">
    <w:name w:val="Heading 8"/>
    <w:basedOn w:val="Normal"/>
    <w:next w:val="Normal"/>
    <w:link w:val="81"/>
    <w:uiPriority w:val="99"/>
    <w:qFormat/>
    <w:rsid w:val="005b1069"/>
    <w:pPr>
      <w:keepNext w:val="true"/>
      <w:spacing w:lineRule="auto" w:line="360" w:before="0" w:after="0"/>
      <w:ind w:firstLine="709"/>
      <w:jc w:val="center"/>
      <w:outlineLvl w:val="7"/>
    </w:pPr>
    <w:rPr>
      <w:rFonts w:eastAsia="Times New Roman"/>
      <w:b/>
      <w:i/>
      <w:iCs/>
      <w:szCs w:val="24"/>
      <w:lang w:eastAsia="ru-RU"/>
    </w:rPr>
  </w:style>
  <w:style w:type="paragraph" w:styleId="9">
    <w:name w:val="Heading 9"/>
    <w:basedOn w:val="Normal"/>
    <w:next w:val="Normal"/>
    <w:link w:val="91"/>
    <w:uiPriority w:val="99"/>
    <w:qFormat/>
    <w:rsid w:val="005b1069"/>
    <w:pPr>
      <w:keepNext w:val="true"/>
      <w:spacing w:lineRule="auto" w:line="240" w:before="0" w:after="0"/>
      <w:ind w:hanging="0"/>
      <w:jc w:val="left"/>
      <w:outlineLvl w:val="8"/>
    </w:pPr>
    <w:rPr>
      <w:rFonts w:eastAsia="Times New Roman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b0bb8"/>
    <w:rPr>
      <w:rFonts w:ascii="Times New Roman" w:hAnsi="Times New Roman" w:eastAsia="Times New Roman" w:cs="Times New Roman"/>
      <w:b/>
      <w:bCs/>
      <w:sz w:val="24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5f4890"/>
    <w:rPr>
      <w:rFonts w:ascii="Times New Roman" w:hAnsi="Times New Roman" w:eastAsia="Times New Roman"/>
      <w:b/>
      <w:bCs/>
      <w:sz w:val="24"/>
      <w:szCs w:val="26"/>
      <w:lang w:eastAsia="en-US"/>
    </w:rPr>
  </w:style>
  <w:style w:type="character" w:styleId="31" w:customStyle="1">
    <w:name w:val="Заголовок 3 Знак"/>
    <w:basedOn w:val="DefaultParagraphFont"/>
    <w:uiPriority w:val="9"/>
    <w:qFormat/>
    <w:rsid w:val="005b1069"/>
    <w:rPr>
      <w:rFonts w:ascii="Times New Roman" w:hAnsi="Times New Roman" w:eastAsia="Times New Roman"/>
      <w:bCs/>
      <w:i/>
      <w:sz w:val="28"/>
      <w:szCs w:val="24"/>
      <w:lang w:val="ru-RU" w:eastAsia="ru-RU" w:bidi="ar-SA"/>
    </w:rPr>
  </w:style>
  <w:style w:type="character" w:styleId="41" w:customStyle="1">
    <w:name w:val="Заголовок 4 Знак"/>
    <w:basedOn w:val="DefaultParagraphFont"/>
    <w:uiPriority w:val="9"/>
    <w:qFormat/>
    <w:rsid w:val="005b1069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character" w:styleId="61" w:customStyle="1">
    <w:name w:val="Заголовок 6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bCs/>
      <w:i/>
      <w:iCs/>
      <w:sz w:val="24"/>
      <w:szCs w:val="24"/>
      <w:lang w:eastAsia="ru-RU"/>
    </w:rPr>
  </w:style>
  <w:style w:type="character" w:styleId="71" w:customStyle="1">
    <w:name w:val="Заголовок 7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b/>
      <w:i/>
      <w:iCs/>
      <w:sz w:val="24"/>
      <w:szCs w:val="24"/>
      <w:lang w:eastAsia="ru-RU"/>
    </w:rPr>
  </w:style>
  <w:style w:type="character" w:styleId="91" w:customStyle="1">
    <w:name w:val="Заголовок 9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5" w:customStyle="1">
    <w:name w:val="Заголовок Знак"/>
    <w:basedOn w:val="DefaultParagraphFont"/>
    <w:uiPriority w:val="10"/>
    <w:qFormat/>
    <w:rsid w:val="00eb0bb8"/>
    <w:rPr>
      <w:rFonts w:ascii="Times New Roman" w:hAnsi="Times New Roman" w:eastAsia="Times New Roman" w:cs="Times New Roman"/>
      <w:b/>
      <w:spacing w:val="5"/>
      <w:kern w:val="2"/>
      <w:sz w:val="28"/>
      <w:szCs w:val="5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21cdf"/>
    <w:rPr>
      <w:sz w:val="16"/>
      <w:szCs w:val="16"/>
    </w:rPr>
  </w:style>
  <w:style w:type="character" w:styleId="Style6" w:customStyle="1">
    <w:name w:val="Текст примечания Знак"/>
    <w:basedOn w:val="DefaultParagraphFont"/>
    <w:link w:val="Annotationtext"/>
    <w:uiPriority w:val="99"/>
    <w:semiHidden/>
    <w:qFormat/>
    <w:rsid w:val="00d21cdf"/>
    <w:rPr>
      <w:rFonts w:ascii="Times New Roman" w:hAnsi="Times New Roman"/>
      <w:sz w:val="20"/>
      <w:szCs w:val="20"/>
    </w:rPr>
  </w:style>
  <w:style w:type="character" w:styleId="Style7" w:customStyle="1">
    <w:name w:val="Тема примечания Знак"/>
    <w:basedOn w:val="Style6"/>
    <w:link w:val="Annotationsubject"/>
    <w:uiPriority w:val="99"/>
    <w:semiHidden/>
    <w:qFormat/>
    <w:rsid w:val="00d21cdf"/>
    <w:rPr>
      <w:rFonts w:ascii="Times New Roman" w:hAnsi="Times New Roman"/>
      <w:b/>
      <w:bCs/>
      <w:sz w:val="20"/>
      <w:szCs w:val="20"/>
    </w:rPr>
  </w:style>
  <w:style w:type="character" w:styleId="Style8" w:customStyle="1">
    <w:name w:val="Текст выноски Знак"/>
    <w:basedOn w:val="DefaultParagraphFont"/>
    <w:link w:val="BalloonText"/>
    <w:uiPriority w:val="99"/>
    <w:qFormat/>
    <w:rsid w:val="00d21cdf"/>
    <w:rPr>
      <w:rFonts w:ascii="Tahoma" w:hAnsi="Tahoma" w:cs="Tahoma"/>
      <w:sz w:val="16"/>
      <w:szCs w:val="16"/>
    </w:rPr>
  </w:style>
  <w:style w:type="character" w:styleId="Style9" w:customStyle="1">
    <w:name w:val="Примечание Знак"/>
    <w:basedOn w:val="DefaultParagraphFont"/>
    <w:link w:val="Style41"/>
    <w:qFormat/>
    <w:rsid w:val="007b2af0"/>
    <w:rPr>
      <w:rFonts w:ascii="Times New Roman" w:hAnsi="Times New Roman"/>
      <w:sz w:val="20"/>
    </w:rPr>
  </w:style>
  <w:style w:type="character" w:styleId="Appleconvertedspace" w:customStyle="1">
    <w:name w:val="apple-converted-space"/>
    <w:basedOn w:val="DefaultParagraphFont"/>
    <w:qFormat/>
    <w:rsid w:val="00362d93"/>
    <w:rPr/>
  </w:style>
  <w:style w:type="character" w:styleId="Style10">
    <w:name w:val="Интернет-ссылка"/>
    <w:basedOn w:val="DefaultParagraphFont"/>
    <w:uiPriority w:val="99"/>
    <w:unhideWhenUsed/>
    <w:rsid w:val="00362d93"/>
    <w:rPr>
      <w:color w:val="0000FF"/>
      <w:u w:val="single"/>
    </w:rPr>
  </w:style>
  <w:style w:type="character" w:styleId="FontStyle157" w:customStyle="1">
    <w:name w:val="Font Style157"/>
    <w:qFormat/>
    <w:rsid w:val="00670ebe"/>
    <w:rPr>
      <w:rFonts w:eastAsia="Times New Roman"/>
      <w:b/>
      <w:color w:val="auto"/>
      <w:sz w:val="26"/>
      <w:lang w:val="ru-RU" w:eastAsia="zh-CN"/>
    </w:rPr>
  </w:style>
  <w:style w:type="character" w:styleId="FontStyle158" w:customStyle="1">
    <w:name w:val="Font Style158"/>
    <w:qFormat/>
    <w:rsid w:val="00670ebe"/>
    <w:rPr>
      <w:rFonts w:eastAsia="Times New Roman"/>
      <w:color w:val="auto"/>
      <w:sz w:val="26"/>
      <w:lang w:val="ru-RU" w:eastAsia="zh-CN"/>
    </w:rPr>
  </w:style>
  <w:style w:type="character" w:styleId="FontStyle163" w:customStyle="1">
    <w:name w:val="Font Style163"/>
    <w:qFormat/>
    <w:rsid w:val="00dc473a"/>
    <w:rPr>
      <w:rFonts w:ascii="Times New Roman" w:hAnsi="Times New Roman"/>
      <w:sz w:val="18"/>
      <w:lang w:val="ru-RU" w:eastAsia="zh-CN"/>
    </w:rPr>
  </w:style>
  <w:style w:type="character" w:styleId="FontStyle162" w:customStyle="1">
    <w:name w:val="Font Style162"/>
    <w:qFormat/>
    <w:rsid w:val="00dc473a"/>
    <w:rPr>
      <w:rFonts w:ascii="Times New Roman" w:hAnsi="Times New Roman"/>
      <w:b/>
      <w:sz w:val="18"/>
      <w:lang w:val="ru-RU" w:eastAsia="zh-CN"/>
    </w:rPr>
  </w:style>
  <w:style w:type="character" w:styleId="Strong">
    <w:name w:val="Strong"/>
    <w:basedOn w:val="DefaultParagraphFont"/>
    <w:uiPriority w:val="22"/>
    <w:qFormat/>
    <w:rsid w:val="00f00131"/>
    <w:rPr>
      <w:b/>
      <w:bCs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f0013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Blk" w:customStyle="1">
    <w:name w:val="blk"/>
    <w:basedOn w:val="DefaultParagraphFont"/>
    <w:qFormat/>
    <w:rsid w:val="00f00131"/>
    <w:rPr/>
  </w:style>
  <w:style w:type="character" w:styleId="F" w:customStyle="1">
    <w:name w:val="f"/>
    <w:basedOn w:val="DefaultParagraphFont"/>
    <w:qFormat/>
    <w:rsid w:val="00ac4bfb"/>
    <w:rPr/>
  </w:style>
  <w:style w:type="character" w:styleId="Style11" w:customStyle="1">
    <w:name w:val="Основной текст с отступом Знак"/>
    <w:basedOn w:val="DefaultParagraphFont"/>
    <w:qFormat/>
    <w:rsid w:val="00da123e"/>
    <w:rPr>
      <w:rFonts w:ascii="Arial" w:hAnsi="Arial" w:eastAsia="Arial Unicode MS" w:cs="Arial"/>
      <w:color w:val="00000A"/>
    </w:rPr>
  </w:style>
  <w:style w:type="character" w:styleId="PlaceholderText">
    <w:name w:val="Placeholder Text"/>
    <w:basedOn w:val="DefaultParagraphFont"/>
    <w:uiPriority w:val="99"/>
    <w:semiHidden/>
    <w:qFormat/>
    <w:rsid w:val="000f3bc2"/>
    <w:rPr>
      <w:color w:val="808080"/>
    </w:rPr>
  </w:style>
  <w:style w:type="character" w:styleId="14" w:customStyle="1">
    <w:name w:val="Текст 14(основной) Знак"/>
    <w:basedOn w:val="DefaultParagraphFont"/>
    <w:link w:val="146"/>
    <w:uiPriority w:val="99"/>
    <w:qFormat/>
    <w:rsid w:val="00f55e27"/>
    <w:rPr>
      <w:rFonts w:ascii="Times New Roman" w:hAnsi="Times New Roman" w:eastAsia="Times New Roman"/>
      <w:sz w:val="24"/>
      <w:szCs w:val="28"/>
    </w:rPr>
  </w:style>
  <w:style w:type="character" w:styleId="12" w:customStyle="1">
    <w:name w:val="Стиль 12 пт"/>
    <w:basedOn w:val="DefaultParagraphFont"/>
    <w:uiPriority w:val="99"/>
    <w:qFormat/>
    <w:rsid w:val="005b1069"/>
    <w:rPr>
      <w:sz w:val="24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5b1069"/>
    <w:rPr>
      <w:rFonts w:ascii="Times New Roman" w:hAnsi="Times New Roman" w:eastAsia="Times New Roman"/>
      <w:b/>
      <w:i/>
      <w:sz w:val="24"/>
      <w:szCs w:val="24"/>
      <w:lang w:val="ru-RU" w:eastAsia="ru-RU" w:bidi="ar-SA"/>
    </w:rPr>
  </w:style>
  <w:style w:type="character" w:styleId="Style13" w:customStyle="1">
    <w:name w:val="Нижний колонтитул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1" w:customStyle="1">
    <w:name w:val="Заголовок 2 Знак1"/>
    <w:basedOn w:val="DefaultParagraphFont"/>
    <w:uiPriority w:val="99"/>
    <w:qFormat/>
    <w:rsid w:val="005b1069"/>
    <w:rPr>
      <w:b/>
      <w:bCs/>
      <w:sz w:val="28"/>
      <w:szCs w:val="24"/>
      <w:lang w:val="ru-RU" w:eastAsia="ru-RU" w:bidi="ar-SA"/>
    </w:rPr>
  </w:style>
  <w:style w:type="character" w:styleId="Style14" w:customStyle="1">
    <w:name w:val="Основной текст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1" w:customStyle="1">
    <w:name w:val="Текст 14(поцентру) Знак Знак"/>
    <w:link w:val="147"/>
    <w:qFormat/>
    <w:rsid w:val="005b106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42" w:customStyle="1">
    <w:name w:val="Текст 14(справа) Знак"/>
    <w:basedOn w:val="14"/>
    <w:link w:val="149"/>
    <w:uiPriority w:val="99"/>
    <w:qFormat/>
    <w:rsid w:val="005b1069"/>
    <w:rPr>
      <w:rFonts w:ascii="Times New Roman" w:hAnsi="Times New Roman" w:eastAsia="Times New Roman"/>
      <w:color w:val="000000"/>
      <w:sz w:val="24"/>
      <w:szCs w:val="24"/>
    </w:rPr>
  </w:style>
  <w:style w:type="character" w:styleId="Normal1" w:customStyle="1">
    <w:name w:val="Normal Знак Знак Знак Знак Знак Знак Знак"/>
    <w:basedOn w:val="DefaultParagraphFont"/>
    <w:link w:val="Normal2"/>
    <w:uiPriority w:val="99"/>
    <w:qFormat/>
    <w:rsid w:val="005b1069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143" w:customStyle="1">
    <w:name w:val="Текст 14(основной) Знак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411" w:customStyle="1">
    <w:name w:val="Текст 14(основной) Знак1"/>
    <w:basedOn w:val="DefaultParagraphFont"/>
    <w:uiPriority w:val="99"/>
    <w:qFormat/>
    <w:rsid w:val="005b106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5b106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qFormat/>
    <w:rsid w:val="005b1069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styleId="Pagenumber">
    <w:name w:val="page number"/>
    <w:basedOn w:val="DefaultParagraphFont"/>
    <w:uiPriority w:val="99"/>
    <w:qFormat/>
    <w:rsid w:val="005b1069"/>
    <w:rPr/>
  </w:style>
  <w:style w:type="character" w:styleId="23" w:customStyle="1">
    <w:name w:val="Основной текст 2 Знак"/>
    <w:basedOn w:val="DefaultParagraphFont"/>
    <w:link w:val="BodyText2"/>
    <w:uiPriority w:val="99"/>
    <w:qFormat/>
    <w:rsid w:val="005b1069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33" w:customStyle="1">
    <w:name w:val="Основной текст 3 Знак"/>
    <w:basedOn w:val="DefaultParagraphFont"/>
    <w:link w:val="BodyText3"/>
    <w:uiPriority w:val="99"/>
    <w:qFormat/>
    <w:rsid w:val="005b106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Подзаголовок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6">
    <w:name w:val="Посещённая гиперссылка"/>
    <w:uiPriority w:val="99"/>
    <w:rsid w:val="005b1069"/>
    <w:rPr>
      <w:color w:val="800080"/>
      <w:u w:val="single"/>
    </w:rPr>
  </w:style>
  <w:style w:type="character" w:styleId="Style17" w:customStyle="1">
    <w:name w:val="Текст сноски Знак"/>
    <w:basedOn w:val="DefaultParagraphFont"/>
    <w:uiPriority w:val="99"/>
    <w:qFormat/>
    <w:rsid w:val="005b106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кст Знак"/>
    <w:basedOn w:val="DefaultParagraphFont"/>
    <w:link w:val="PlainText"/>
    <w:uiPriority w:val="99"/>
    <w:qFormat/>
    <w:rsid w:val="005b1069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3" w:customStyle="1">
    <w:name w:val="Знак Знак1"/>
    <w:uiPriority w:val="99"/>
    <w:qFormat/>
    <w:rsid w:val="005b1069"/>
    <w:rPr>
      <w:sz w:val="24"/>
      <w:szCs w:val="24"/>
    </w:rPr>
  </w:style>
  <w:style w:type="character" w:styleId="Style19">
    <w:name w:val="Выделение"/>
    <w:qFormat/>
    <w:rsid w:val="005b1069"/>
    <w:rPr>
      <w:i/>
      <w:iCs/>
    </w:rPr>
  </w:style>
  <w:style w:type="character" w:styleId="311" w:customStyle="1">
    <w:name w:val="Заголовок 3 Знак1"/>
    <w:uiPriority w:val="99"/>
    <w:qFormat/>
    <w:rsid w:val="005b1069"/>
    <w:rPr>
      <w:b/>
      <w:bCs/>
      <w:sz w:val="24"/>
      <w:szCs w:val="24"/>
      <w:lang w:val="ru-RU" w:eastAsia="ru-RU" w:bidi="ar-SA"/>
    </w:rPr>
  </w:style>
  <w:style w:type="character" w:styleId="Style20" w:customStyle="1">
    <w:name w:val="Схема документа Знак"/>
    <w:basedOn w:val="DefaultParagraphFont"/>
    <w:link w:val="DocumentMap"/>
    <w:uiPriority w:val="99"/>
    <w:semiHidden/>
    <w:qFormat/>
    <w:rsid w:val="005b1069"/>
    <w:rPr>
      <w:rFonts w:ascii="Tahoma" w:hAnsi="Tahoma" w:eastAsia="Times New Roman" w:cs="Times New Roman"/>
      <w:sz w:val="24"/>
      <w:szCs w:val="24"/>
      <w:shd w:fill="000080" w:val="clear"/>
      <w:lang w:eastAsia="ru-RU"/>
    </w:rPr>
  </w:style>
  <w:style w:type="character" w:styleId="34" w:customStyle="1">
    <w:name w:val="Знак Знак Знак3"/>
    <w:uiPriority w:val="99"/>
    <w:qFormat/>
    <w:rsid w:val="005b106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Grame" w:customStyle="1">
    <w:name w:val="grame"/>
    <w:basedOn w:val="DefaultParagraphFont"/>
    <w:uiPriority w:val="99"/>
    <w:qFormat/>
    <w:rsid w:val="005b1069"/>
    <w:rPr/>
  </w:style>
  <w:style w:type="character" w:styleId="Applestylespan" w:customStyle="1">
    <w:name w:val="apple-style-span"/>
    <w:basedOn w:val="DefaultParagraphFont"/>
    <w:uiPriority w:val="99"/>
    <w:qFormat/>
    <w:rsid w:val="005b1069"/>
    <w:rPr/>
  </w:style>
  <w:style w:type="character" w:styleId="144" w:customStyle="1">
    <w:name w:val="Текст 14(курсив) Знак"/>
    <w:link w:val="1412"/>
    <w:uiPriority w:val="99"/>
    <w:qFormat/>
    <w:rsid w:val="005b1069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character" w:styleId="Style21" w:customStyle="1">
    <w:name w:val="Символ сноски"/>
    <w:basedOn w:val="DefaultParagraphFont"/>
    <w:uiPriority w:val="99"/>
    <w:qFormat/>
    <w:rsid w:val="005b1069"/>
    <w:rPr>
      <w:vertAlign w:val="superscript"/>
    </w:rPr>
  </w:style>
  <w:style w:type="character" w:styleId="Style22">
    <w:name w:val="Привязка сноски"/>
    <w:rPr>
      <w:vertAlign w:val="superscript"/>
    </w:rPr>
  </w:style>
  <w:style w:type="character" w:styleId="Z" w:customStyle="1">
    <w:name w:val="z-Начало формы Знак"/>
    <w:basedOn w:val="DefaultParagraphFont"/>
    <w:link w:val="HTMLTopofForm"/>
    <w:uiPriority w:val="99"/>
    <w:qFormat/>
    <w:rsid w:val="005b1069"/>
    <w:rPr>
      <w:rFonts w:ascii="Arial" w:hAnsi="Arial" w:eastAsia="Times New Roman" w:cs="Times New Roman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HTMLBottomofForm"/>
    <w:uiPriority w:val="99"/>
    <w:qFormat/>
    <w:rsid w:val="005b1069"/>
    <w:rPr>
      <w:rFonts w:ascii="Arial" w:hAnsi="Arial" w:eastAsia="Times New Roman" w:cs="Times New Roman"/>
      <w:vanish/>
      <w:sz w:val="16"/>
      <w:szCs w:val="16"/>
      <w:lang w:eastAsia="ru-RU"/>
    </w:rPr>
  </w:style>
  <w:style w:type="character" w:styleId="HTML1" w:customStyle="1">
    <w:name w:val="Адрес HTML Знак"/>
    <w:basedOn w:val="DefaultParagraphFont"/>
    <w:link w:val="HTMLAddress"/>
    <w:uiPriority w:val="99"/>
    <w:qFormat/>
    <w:rsid w:val="005b1069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syl2" w:customStyle="1">
    <w:name w:val="ssyl2"/>
    <w:basedOn w:val="DefaultParagraphFont"/>
    <w:uiPriority w:val="99"/>
    <w:qFormat/>
    <w:rsid w:val="005b1069"/>
    <w:rPr/>
  </w:style>
  <w:style w:type="character" w:styleId="Text1" w:customStyle="1">
    <w:name w:val="text1"/>
    <w:basedOn w:val="DefaultParagraphFont"/>
    <w:uiPriority w:val="99"/>
    <w:qFormat/>
    <w:rsid w:val="005b1069"/>
    <w:rPr/>
  </w:style>
  <w:style w:type="character" w:styleId="Text3" w:customStyle="1">
    <w:name w:val="text3"/>
    <w:basedOn w:val="DefaultParagraphFont"/>
    <w:uiPriority w:val="99"/>
    <w:qFormat/>
    <w:rsid w:val="005b1069"/>
    <w:rPr/>
  </w:style>
  <w:style w:type="character" w:styleId="15" w:customStyle="1">
    <w:name w:val="заголовокпогода1"/>
    <w:basedOn w:val="DefaultParagraphFont"/>
    <w:uiPriority w:val="99"/>
    <w:qFormat/>
    <w:rsid w:val="005b1069"/>
    <w:rPr/>
  </w:style>
  <w:style w:type="character" w:styleId="145" w:customStyle="1">
    <w:name w:val="Текст 14(основной) Знак Знак Знак"/>
    <w:uiPriority w:val="99"/>
    <w:qFormat/>
    <w:rsid w:val="005b1069"/>
    <w:rPr>
      <w:sz w:val="28"/>
      <w:szCs w:val="24"/>
    </w:rPr>
  </w:style>
  <w:style w:type="character" w:styleId="HTMLDefinition">
    <w:name w:val="HTML Definition"/>
    <w:basedOn w:val="DefaultParagraphFont"/>
    <w:uiPriority w:val="99"/>
    <w:qFormat/>
    <w:rsid w:val="005b1069"/>
    <w:rPr>
      <w:i/>
      <w:iCs/>
    </w:rPr>
  </w:style>
  <w:style w:type="character" w:styleId="24" w:customStyle="1">
    <w:name w:val="Знак Знак2"/>
    <w:basedOn w:val="DefaultParagraphFont"/>
    <w:qFormat/>
    <w:locked/>
    <w:rsid w:val="005b1069"/>
    <w:rPr>
      <w:sz w:val="24"/>
      <w:szCs w:val="24"/>
      <w:lang w:val="ru-RU" w:eastAsia="ru-RU" w:bidi="ar-SA"/>
    </w:rPr>
  </w:style>
  <w:style w:type="character" w:styleId="Style23" w:customStyle="1">
    <w:name w:val="Знак"/>
    <w:basedOn w:val="DefaultParagraphFont"/>
    <w:qFormat/>
    <w:rsid w:val="005b1069"/>
    <w:rPr>
      <w:sz w:val="24"/>
      <w:szCs w:val="24"/>
      <w:lang w:val="ru-RU" w:eastAsia="ru-RU" w:bidi="ar-SA"/>
    </w:rPr>
  </w:style>
  <w:style w:type="character" w:styleId="111" w:customStyle="1">
    <w:name w:val="Знак Знак11"/>
    <w:basedOn w:val="DefaultParagraphFont"/>
    <w:uiPriority w:val="99"/>
    <w:qFormat/>
    <w:locked/>
    <w:rsid w:val="005b1069"/>
    <w:rPr>
      <w:sz w:val="24"/>
      <w:szCs w:val="24"/>
      <w:lang w:val="ru-RU" w:eastAsia="ru-RU" w:bidi="ar-SA"/>
    </w:rPr>
  </w:style>
  <w:style w:type="character" w:styleId="241" w:customStyle="1">
    <w:name w:val="Знак Знак24"/>
    <w:basedOn w:val="DefaultParagraphFont"/>
    <w:uiPriority w:val="99"/>
    <w:qFormat/>
    <w:rsid w:val="005b1069"/>
    <w:rPr>
      <w:b/>
      <w:bCs/>
      <w:sz w:val="24"/>
      <w:szCs w:val="24"/>
    </w:rPr>
  </w:style>
  <w:style w:type="character" w:styleId="231" w:customStyle="1">
    <w:name w:val="Знак Знак23"/>
    <w:basedOn w:val="DefaultParagraphFont"/>
    <w:uiPriority w:val="99"/>
    <w:qFormat/>
    <w:rsid w:val="005b1069"/>
    <w:rPr>
      <w:i/>
      <w:iCs/>
      <w:sz w:val="24"/>
      <w:szCs w:val="24"/>
    </w:rPr>
  </w:style>
  <w:style w:type="character" w:styleId="221" w:customStyle="1">
    <w:name w:val="Знак Знак22"/>
    <w:basedOn w:val="DefaultParagraphFont"/>
    <w:uiPriority w:val="99"/>
    <w:qFormat/>
    <w:rsid w:val="005b1069"/>
    <w:rPr>
      <w:sz w:val="24"/>
      <w:szCs w:val="24"/>
      <w:u w:val="single"/>
    </w:rPr>
  </w:style>
  <w:style w:type="character" w:styleId="212" w:customStyle="1">
    <w:name w:val="Знак Знак21"/>
    <w:basedOn w:val="DefaultParagraphFont"/>
    <w:uiPriority w:val="99"/>
    <w:qFormat/>
    <w:rsid w:val="005b1069"/>
    <w:rPr>
      <w:bCs/>
      <w:i/>
      <w:iCs/>
      <w:sz w:val="24"/>
      <w:szCs w:val="24"/>
    </w:rPr>
  </w:style>
  <w:style w:type="character" w:styleId="20" w:customStyle="1">
    <w:name w:val="Знак Знак20"/>
    <w:basedOn w:val="DefaultParagraphFont"/>
    <w:uiPriority w:val="99"/>
    <w:qFormat/>
    <w:rsid w:val="005b1069"/>
    <w:rPr>
      <w:b/>
      <w:bCs/>
      <w:i/>
      <w:iCs/>
      <w:sz w:val="24"/>
      <w:szCs w:val="24"/>
    </w:rPr>
  </w:style>
  <w:style w:type="character" w:styleId="Pricecaption" w:customStyle="1">
    <w:name w:val="price_caption"/>
    <w:basedOn w:val="DefaultParagraphFont"/>
    <w:uiPriority w:val="99"/>
    <w:qFormat/>
    <w:rsid w:val="005b1069"/>
    <w:rPr/>
  </w:style>
  <w:style w:type="character" w:styleId="Priceprice" w:customStyle="1">
    <w:name w:val="price_price"/>
    <w:basedOn w:val="DefaultParagraphFont"/>
    <w:uiPriority w:val="99"/>
    <w:qFormat/>
    <w:rsid w:val="005b1069"/>
    <w:rPr/>
  </w:style>
  <w:style w:type="character" w:styleId="Editsection" w:customStyle="1">
    <w:name w:val="editsection"/>
    <w:basedOn w:val="DefaultParagraphFont"/>
    <w:uiPriority w:val="99"/>
    <w:qFormat/>
    <w:rsid w:val="005b1069"/>
    <w:rPr/>
  </w:style>
  <w:style w:type="character" w:styleId="Plainlinks" w:customStyle="1">
    <w:name w:val="plainlinks"/>
    <w:basedOn w:val="DefaultParagraphFont"/>
    <w:uiPriority w:val="99"/>
    <w:qFormat/>
    <w:rsid w:val="005b1069"/>
    <w:rPr/>
  </w:style>
  <w:style w:type="character" w:styleId="Fn" w:customStyle="1">
    <w:name w:val="fn"/>
    <w:basedOn w:val="DefaultParagraphFont"/>
    <w:uiPriority w:val="99"/>
    <w:qFormat/>
    <w:rsid w:val="005b1069"/>
    <w:rPr/>
  </w:style>
  <w:style w:type="character" w:styleId="Plainlinksneverexpand" w:customStyle="1">
    <w:name w:val="plainlinksneverexpand"/>
    <w:basedOn w:val="DefaultParagraphFont"/>
    <w:uiPriority w:val="99"/>
    <w:qFormat/>
    <w:rsid w:val="005b1069"/>
    <w:rPr/>
  </w:style>
  <w:style w:type="character" w:styleId="Geogeodms" w:customStyle="1">
    <w:name w:val="geo-geo-dms"/>
    <w:basedOn w:val="DefaultParagraphFont"/>
    <w:uiPriority w:val="99"/>
    <w:qFormat/>
    <w:rsid w:val="005b1069"/>
    <w:rPr/>
  </w:style>
  <w:style w:type="character" w:styleId="Geodms" w:customStyle="1">
    <w:name w:val="geo-dms"/>
    <w:basedOn w:val="DefaultParagraphFont"/>
    <w:uiPriority w:val="99"/>
    <w:qFormat/>
    <w:rsid w:val="005b1069"/>
    <w:rPr/>
  </w:style>
  <w:style w:type="character" w:styleId="Geolat" w:customStyle="1">
    <w:name w:val="geo-lat"/>
    <w:basedOn w:val="DefaultParagraphFont"/>
    <w:uiPriority w:val="99"/>
    <w:qFormat/>
    <w:rsid w:val="005b1069"/>
    <w:rPr/>
  </w:style>
  <w:style w:type="character" w:styleId="Geolon" w:customStyle="1">
    <w:name w:val="geo-lon"/>
    <w:basedOn w:val="DefaultParagraphFont"/>
    <w:uiPriority w:val="99"/>
    <w:qFormat/>
    <w:rsid w:val="005b1069"/>
    <w:rPr/>
  </w:style>
  <w:style w:type="character" w:styleId="Coordinates" w:customStyle="1">
    <w:name w:val="coordinates"/>
    <w:basedOn w:val="DefaultParagraphFont"/>
    <w:uiPriority w:val="99"/>
    <w:qFormat/>
    <w:rsid w:val="005b1069"/>
    <w:rPr/>
  </w:style>
  <w:style w:type="character" w:styleId="Toctoggle" w:customStyle="1">
    <w:name w:val="toctoggle"/>
    <w:basedOn w:val="DefaultParagraphFont"/>
    <w:uiPriority w:val="99"/>
    <w:qFormat/>
    <w:rsid w:val="005b1069"/>
    <w:rPr/>
  </w:style>
  <w:style w:type="character" w:styleId="Tocnumber" w:customStyle="1">
    <w:name w:val="tocnumber"/>
    <w:basedOn w:val="DefaultParagraphFont"/>
    <w:uiPriority w:val="99"/>
    <w:qFormat/>
    <w:rsid w:val="005b1069"/>
    <w:rPr/>
  </w:style>
  <w:style w:type="character" w:styleId="Toctext" w:customStyle="1">
    <w:name w:val="toctext"/>
    <w:basedOn w:val="DefaultParagraphFont"/>
    <w:uiPriority w:val="99"/>
    <w:qFormat/>
    <w:rsid w:val="005b1069"/>
    <w:rPr/>
  </w:style>
  <w:style w:type="character" w:styleId="Mwheadline" w:customStyle="1">
    <w:name w:val="mw-headline"/>
    <w:basedOn w:val="DefaultParagraphFont"/>
    <w:uiPriority w:val="99"/>
    <w:qFormat/>
    <w:rsid w:val="005b1069"/>
    <w:rPr/>
  </w:style>
  <w:style w:type="character" w:styleId="Price" w:customStyle="1">
    <w:name w:val="price"/>
    <w:basedOn w:val="DefaultParagraphFont"/>
    <w:uiPriority w:val="99"/>
    <w:qFormat/>
    <w:rsid w:val="005b1069"/>
    <w:rPr/>
  </w:style>
  <w:style w:type="character" w:styleId="16" w:customStyle="1">
    <w:name w:val="Название1"/>
    <w:basedOn w:val="DefaultParagraphFont"/>
    <w:uiPriority w:val="99"/>
    <w:qFormat/>
    <w:rsid w:val="005b1069"/>
    <w:rPr/>
  </w:style>
  <w:style w:type="character" w:styleId="Object" w:customStyle="1">
    <w:name w:val="object"/>
    <w:basedOn w:val="DefaultParagraphFont"/>
    <w:uiPriority w:val="99"/>
    <w:qFormat/>
    <w:rsid w:val="005b1069"/>
    <w:rPr/>
  </w:style>
  <w:style w:type="character" w:styleId="Locality" w:customStyle="1">
    <w:name w:val="locality"/>
    <w:basedOn w:val="DefaultParagraphFont"/>
    <w:uiPriority w:val="99"/>
    <w:qFormat/>
    <w:rsid w:val="005b1069"/>
    <w:rPr/>
  </w:style>
  <w:style w:type="character" w:styleId="Streetaddress" w:customStyle="1">
    <w:name w:val="street-address"/>
    <w:basedOn w:val="DefaultParagraphFont"/>
    <w:uiPriority w:val="99"/>
    <w:qFormat/>
    <w:rsid w:val="005b1069"/>
    <w:rPr/>
  </w:style>
  <w:style w:type="character" w:styleId="Tel" w:customStyle="1">
    <w:name w:val="tel"/>
    <w:basedOn w:val="DefaultParagraphFont"/>
    <w:uiPriority w:val="99"/>
    <w:qFormat/>
    <w:rsid w:val="005b1069"/>
    <w:rPr/>
  </w:style>
  <w:style w:type="character" w:styleId="Sharelistitemcounter" w:customStyle="1">
    <w:name w:val="share_list_item_counter"/>
    <w:basedOn w:val="DefaultParagraphFont"/>
    <w:uiPriority w:val="99"/>
    <w:qFormat/>
    <w:rsid w:val="005b1069"/>
    <w:rPr/>
  </w:style>
  <w:style w:type="character" w:styleId="Description" w:customStyle="1">
    <w:name w:val="description"/>
    <w:basedOn w:val="DefaultParagraphFont"/>
    <w:uiPriority w:val="99"/>
    <w:qFormat/>
    <w:rsid w:val="005b1069"/>
    <w:rPr/>
  </w:style>
  <w:style w:type="character" w:styleId="Photos" w:customStyle="1">
    <w:name w:val="photos"/>
    <w:basedOn w:val="DefaultParagraphFont"/>
    <w:uiPriority w:val="99"/>
    <w:qFormat/>
    <w:rsid w:val="005b1069"/>
    <w:rPr/>
  </w:style>
  <w:style w:type="character" w:styleId="Rooms" w:customStyle="1">
    <w:name w:val="rooms"/>
    <w:basedOn w:val="DefaultParagraphFont"/>
    <w:uiPriority w:val="99"/>
    <w:qFormat/>
    <w:rsid w:val="005b1069"/>
    <w:rPr/>
  </w:style>
  <w:style w:type="character" w:styleId="Reviews" w:customStyle="1">
    <w:name w:val="reviews"/>
    <w:basedOn w:val="DefaultParagraphFont"/>
    <w:uiPriority w:val="99"/>
    <w:qFormat/>
    <w:rsid w:val="005b1069"/>
    <w:rPr/>
  </w:style>
  <w:style w:type="character" w:styleId="Map" w:customStyle="1">
    <w:name w:val="map"/>
    <w:basedOn w:val="DefaultParagraphFont"/>
    <w:uiPriority w:val="99"/>
    <w:qFormat/>
    <w:rsid w:val="005b1069"/>
    <w:rPr/>
  </w:style>
  <w:style w:type="character" w:styleId="Right" w:customStyle="1">
    <w:name w:val="right"/>
    <w:basedOn w:val="DefaultParagraphFont"/>
    <w:uiPriority w:val="99"/>
    <w:qFormat/>
    <w:rsid w:val="005b1069"/>
    <w:rPr/>
  </w:style>
  <w:style w:type="character" w:styleId="Expandrating" w:customStyle="1">
    <w:name w:val="expand_rating"/>
    <w:basedOn w:val="DefaultParagraphFont"/>
    <w:uiPriority w:val="99"/>
    <w:qFormat/>
    <w:rsid w:val="005b1069"/>
    <w:rPr/>
  </w:style>
  <w:style w:type="character" w:styleId="Downarrow" w:customStyle="1">
    <w:name w:val="down_arrow"/>
    <w:basedOn w:val="DefaultParagraphFont"/>
    <w:uiPriority w:val="99"/>
    <w:qFormat/>
    <w:rsid w:val="005b1069"/>
    <w:rPr/>
  </w:style>
  <w:style w:type="character" w:styleId="Expanddetail" w:customStyle="1">
    <w:name w:val="expand_detail"/>
    <w:basedOn w:val="DefaultParagraphFont"/>
    <w:uiPriority w:val="99"/>
    <w:qFormat/>
    <w:rsid w:val="005b1069"/>
    <w:rPr/>
  </w:style>
  <w:style w:type="character" w:styleId="Day1" w:customStyle="1">
    <w:name w:val="day1"/>
    <w:basedOn w:val="DefaultParagraphFont"/>
    <w:uiPriority w:val="99"/>
    <w:qFormat/>
    <w:rsid w:val="005b1069"/>
    <w:rPr/>
  </w:style>
  <w:style w:type="character" w:styleId="Day2" w:customStyle="1">
    <w:name w:val="day2"/>
    <w:basedOn w:val="DefaultParagraphFont"/>
    <w:uiPriority w:val="99"/>
    <w:qFormat/>
    <w:rsid w:val="005b1069"/>
    <w:rPr/>
  </w:style>
  <w:style w:type="character" w:styleId="Newsdatetime" w:customStyle="1">
    <w:name w:val="news-date-time"/>
    <w:basedOn w:val="DefaultParagraphFont"/>
    <w:uiPriority w:val="99"/>
    <w:qFormat/>
    <w:rsid w:val="005b1069"/>
    <w:rPr/>
  </w:style>
  <w:style w:type="character" w:styleId="131" w:customStyle="1">
    <w:name w:val="Знак Знак13"/>
    <w:basedOn w:val="DefaultParagraphFont"/>
    <w:uiPriority w:val="99"/>
    <w:qFormat/>
    <w:locked/>
    <w:rsid w:val="005b1069"/>
    <w:rPr>
      <w:lang w:val="ru-RU" w:eastAsia="ru-RU" w:bidi="ar-SA"/>
    </w:rPr>
  </w:style>
  <w:style w:type="character" w:styleId="FontStyle21" w:customStyle="1">
    <w:name w:val="Font Style21"/>
    <w:basedOn w:val="DefaultParagraphFont"/>
    <w:uiPriority w:val="99"/>
    <w:qFormat/>
    <w:rsid w:val="00a62fda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styleId="FontStyle23" w:customStyle="1">
    <w:name w:val="Font Style23"/>
    <w:basedOn w:val="DefaultParagraphFont"/>
    <w:uiPriority w:val="99"/>
    <w:qFormat/>
    <w:rsid w:val="00a62fda"/>
    <w:rPr>
      <w:rFonts w:ascii="MS Reference Sans Serif" w:hAnsi="MS Reference Sans Serif" w:cs="MS Reference Sans Serif"/>
      <w:sz w:val="16"/>
      <w:szCs w:val="16"/>
    </w:rPr>
  </w:style>
  <w:style w:type="character" w:styleId="FontStyle24" w:customStyle="1">
    <w:name w:val="Font Style24"/>
    <w:basedOn w:val="DefaultParagraphFont"/>
    <w:uiPriority w:val="99"/>
    <w:qFormat/>
    <w:rsid w:val="00a62fda"/>
    <w:rPr>
      <w:rFonts w:ascii="MS Reference Sans Serif" w:hAnsi="MS Reference Sans Serif" w:cs="MS Reference Sans Serif"/>
      <w:b/>
      <w:bCs/>
      <w:sz w:val="14"/>
      <w:szCs w:val="14"/>
    </w:rPr>
  </w:style>
  <w:style w:type="character" w:styleId="FontStyle26" w:customStyle="1">
    <w:name w:val="Font Style26"/>
    <w:basedOn w:val="DefaultParagraphFont"/>
    <w:uiPriority w:val="99"/>
    <w:qFormat/>
    <w:rsid w:val="00a62fda"/>
    <w:rPr>
      <w:rFonts w:ascii="MS Reference Sans Serif" w:hAnsi="MS Reference Sans Serif" w:cs="MS Reference Sans Serif"/>
      <w:smallCaps/>
      <w:sz w:val="14"/>
      <w:szCs w:val="14"/>
    </w:rPr>
  </w:style>
  <w:style w:type="character" w:styleId="FontStyle27" w:customStyle="1">
    <w:name w:val="Font Style27"/>
    <w:basedOn w:val="DefaultParagraphFont"/>
    <w:uiPriority w:val="99"/>
    <w:qFormat/>
    <w:rsid w:val="00a62fda"/>
    <w:rPr>
      <w:rFonts w:ascii="MS Reference Sans Serif" w:hAnsi="MS Reference Sans Serif" w:cs="MS Reference Sans Serif"/>
      <w:smallCaps/>
      <w:sz w:val="16"/>
      <w:szCs w:val="16"/>
    </w:rPr>
  </w:style>
  <w:style w:type="character" w:styleId="FontStyle29" w:customStyle="1">
    <w:name w:val="Font Style29"/>
    <w:basedOn w:val="DefaultParagraphFont"/>
    <w:uiPriority w:val="99"/>
    <w:qFormat/>
    <w:rsid w:val="00a62fda"/>
    <w:rPr>
      <w:rFonts w:ascii="MS Reference Sans Serif" w:hAnsi="MS Reference Sans Serif" w:cs="MS Reference Sans Serif"/>
      <w:b/>
      <w:bCs/>
      <w:w w:val="20"/>
      <w:sz w:val="28"/>
      <w:szCs w:val="28"/>
    </w:rPr>
  </w:style>
  <w:style w:type="character" w:styleId="FontStyle30" w:customStyle="1">
    <w:name w:val="Font Style30"/>
    <w:basedOn w:val="DefaultParagraphFont"/>
    <w:uiPriority w:val="99"/>
    <w:qFormat/>
    <w:rsid w:val="00a62fda"/>
    <w:rPr>
      <w:rFonts w:ascii="MS Reference Sans Serif" w:hAnsi="MS Reference Sans Serif" w:cs="MS Reference Sans Serif"/>
      <w:b/>
      <w:bCs/>
      <w:i/>
      <w:iCs/>
      <w:spacing w:val="10"/>
      <w:sz w:val="16"/>
      <w:szCs w:val="16"/>
    </w:rPr>
  </w:style>
  <w:style w:type="character" w:styleId="FontStyle31" w:customStyle="1">
    <w:name w:val="Font Style31"/>
    <w:basedOn w:val="DefaultParagraphFont"/>
    <w:uiPriority w:val="99"/>
    <w:qFormat/>
    <w:rsid w:val="00a62fda"/>
    <w:rPr>
      <w:rFonts w:ascii="MS Reference Sans Serif" w:hAnsi="MS Reference Sans Serif" w:cs="MS Reference Sans Serif"/>
      <w:b/>
      <w:bCs/>
      <w:w w:val="20"/>
      <w:sz w:val="28"/>
      <w:szCs w:val="28"/>
    </w:rPr>
  </w:style>
  <w:style w:type="character" w:styleId="FontStyle22" w:customStyle="1">
    <w:name w:val="Font Style22"/>
    <w:basedOn w:val="DefaultParagraphFont"/>
    <w:uiPriority w:val="99"/>
    <w:qFormat/>
    <w:rsid w:val="00a62fda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styleId="213" w:customStyle="1">
    <w:name w:val="Основной текст 2 Знак1"/>
    <w:basedOn w:val="DefaultParagraphFont"/>
    <w:uiPriority w:val="99"/>
    <w:qFormat/>
    <w:locked/>
    <w:rsid w:val="00344a64"/>
    <w:rPr>
      <w:rFonts w:cs="Times New Roman"/>
      <w:b/>
      <w:bCs/>
      <w:i/>
      <w:iCs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7a6cec"/>
    <w:rPr>
      <w:b/>
      <w:bCs/>
      <w:i/>
      <w:iCs/>
      <w:color w:val="4F81BD"/>
    </w:rPr>
  </w:style>
  <w:style w:type="character" w:styleId="Highlighthighlightactive" w:customStyle="1">
    <w:name w:val="highlight highlight_active"/>
    <w:basedOn w:val="DefaultParagraphFont"/>
    <w:uiPriority w:val="99"/>
    <w:qFormat/>
    <w:rsid w:val="002b630d"/>
    <w:rPr/>
  </w:style>
  <w:style w:type="character" w:styleId="Style24" w:customStyle="1">
    <w:name w:val="Без интервала Знак"/>
    <w:basedOn w:val="DefaultParagraphFont"/>
    <w:link w:val="NoSpacing"/>
    <w:qFormat/>
    <w:rsid w:val="00a9135e"/>
    <w:rPr>
      <w:rFonts w:eastAsia="Times New Roman"/>
      <w:sz w:val="24"/>
      <w:szCs w:val="32"/>
      <w:lang w:val="en-US" w:eastAsia="en-US" w:bidi="en-US"/>
    </w:rPr>
  </w:style>
  <w:style w:type="character" w:styleId="Style25" w:customStyle="1">
    <w:name w:val="Названия таблиц Знак Знак"/>
    <w:basedOn w:val="DefaultParagraphFont"/>
    <w:uiPriority w:val="99"/>
    <w:qFormat/>
    <w:rsid w:val="00a24ab2"/>
    <w:rPr>
      <w:rFonts w:ascii="Bookman Old Style" w:hAnsi="Bookman Old Style" w:cs="Bookman Old Style"/>
      <w:b/>
      <w:bCs/>
      <w:color w:val="000000"/>
      <w:sz w:val="24"/>
      <w:szCs w:val="24"/>
      <w:lang w:val="ru-RU" w:eastAsia="ru-RU"/>
    </w:rPr>
  </w:style>
  <w:style w:type="character" w:styleId="Style26" w:customStyle="1">
    <w:name w:val="ООО  «Институт Территориального Планирования Знак"/>
    <w:link w:val="Style55"/>
    <w:qFormat/>
    <w:rsid w:val="000034ef"/>
    <w:rPr>
      <w:rFonts w:ascii="Times New Roman" w:hAnsi="Times New Roman" w:eastAsia="Times New Roman"/>
      <w:sz w:val="24"/>
      <w:szCs w:val="24"/>
      <w:lang w:eastAsia="en-US"/>
    </w:rPr>
  </w:style>
  <w:style w:type="character" w:styleId="Style27" w:customStyle="1">
    <w:name w:val="Абзац списка Знак"/>
    <w:link w:val="ListParagraph"/>
    <w:uiPriority w:val="34"/>
    <w:qFormat/>
    <w:rsid w:val="00e619fc"/>
    <w:rPr>
      <w:rFonts w:ascii="Times New Roman" w:hAnsi="Times New Roman" w:eastAsia="Times New Roman"/>
      <w:sz w:val="26"/>
      <w:szCs w:val="24"/>
    </w:rPr>
  </w:style>
  <w:style w:type="character" w:styleId="Style28" w:customStyle="1">
    <w:name w:val="+Таб Знак"/>
    <w:basedOn w:val="DefaultParagraphFont"/>
    <w:link w:val="Style56"/>
    <w:qFormat/>
    <w:rsid w:val="00225c0e"/>
    <w:rPr>
      <w:rFonts w:ascii="Times New Roman" w:hAnsi="Times New Roman"/>
      <w:lang w:eastAsia="en-US"/>
    </w:rPr>
  </w:style>
  <w:style w:type="character" w:styleId="FontStyle271" w:customStyle="1">
    <w:name w:val="Font Style271"/>
    <w:basedOn w:val="DefaultParagraphFont"/>
    <w:uiPriority w:val="99"/>
    <w:qFormat/>
    <w:rsid w:val="002f7dfd"/>
    <w:rPr>
      <w:rFonts w:ascii="Times New Roman" w:hAnsi="Times New Roman" w:cs="Times New Roman"/>
      <w:b/>
      <w:bCs/>
      <w:sz w:val="20"/>
      <w:szCs w:val="20"/>
    </w:rPr>
  </w:style>
  <w:style w:type="character" w:styleId="Style29" w:customStyle="1">
    <w:name w:val="+ Знак"/>
    <w:basedOn w:val="Style27"/>
    <w:link w:val="Style58"/>
    <w:qFormat/>
    <w:locked/>
    <w:rsid w:val="00f7467c"/>
    <w:rPr>
      <w:rFonts w:ascii="Times New Roman" w:hAnsi="Times New Roman" w:eastAsia="Times New Roman"/>
      <w:sz w:val="22"/>
      <w:szCs w:val="22"/>
      <w:lang w:eastAsia="en-US"/>
    </w:rPr>
  </w:style>
  <w:style w:type="character" w:styleId="Style30" w:customStyle="1">
    <w:name w:val="+таб Знак"/>
    <w:link w:val="Style60"/>
    <w:qFormat/>
    <w:rsid w:val="00073dce"/>
    <w:rPr>
      <w:rFonts w:ascii="Times New Roman" w:hAnsi="Times New Roman" w:eastAsia="Times New Roman"/>
    </w:rPr>
  </w:style>
  <w:style w:type="character" w:styleId="25" w:customStyle="1">
    <w:name w:val="Знак Знак25"/>
    <w:uiPriority w:val="99"/>
    <w:qFormat/>
    <w:locked/>
    <w:rsid w:val="00dd40dd"/>
    <w:rPr>
      <w:rFonts w:cs="Times New Roman"/>
      <w:sz w:val="24"/>
      <w:szCs w:val="24"/>
      <w:lang w:val="ru-RU" w:eastAsia="ru-RU" w:bidi="ar-SA"/>
    </w:rPr>
  </w:style>
  <w:style w:type="character" w:styleId="Style31" w:customStyle="1">
    <w:name w:val="Подпись к таблице"/>
    <w:qFormat/>
    <w:rsid w:val="00dd40dd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26pt" w:customStyle="1">
    <w:name w:val="Основной текст (2) + 6 pt;Курсив"/>
    <w:qFormat/>
    <w:rsid w:val="00dd40dd"/>
    <w:rPr>
      <w:rFonts w:ascii="Tahoma" w:hAnsi="Tahoma" w:eastAsia="Tahoma" w:cs="Tahoma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styleId="26" w:customStyle="1">
    <w:name w:val="Основной текст (2)"/>
    <w:qFormat/>
    <w:rsid w:val="00dd40dd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2TimesNewRoman" w:customStyle="1">
    <w:name w:val="Основной текст (2) + Times New Roman;Полужирный"/>
    <w:qFormat/>
    <w:rsid w:val="00dd40d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2Arial7pt0pt" w:customStyle="1">
    <w:name w:val="Основной текст (2) + Arial;7 pt;Курсив;Интервал 0 pt"/>
    <w:qFormat/>
    <w:rsid w:val="00dd40dd"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sz w:val="14"/>
      <w:szCs w:val="14"/>
      <w:u w:val="none"/>
      <w:lang w:val="ru-RU" w:eastAsia="ru-RU" w:bidi="ru-RU"/>
    </w:rPr>
  </w:style>
  <w:style w:type="character" w:styleId="2TimesNewRoman4pt" w:customStyle="1">
    <w:name w:val="Основной текст (2) + Times New Roman;4 pt"/>
    <w:qFormat/>
    <w:rsid w:val="00dd40d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TimesNewRoman85pt0pt" w:customStyle="1">
    <w:name w:val="Основной текст (2) + Times New Roman;8;5 pt;Интервал 0 pt"/>
    <w:qFormat/>
    <w:rsid w:val="00dd40d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7"/>
      <w:szCs w:val="17"/>
      <w:u w:val="none"/>
      <w:lang w:val="ru-RU" w:eastAsia="ru-RU" w:bidi="ru-RU"/>
    </w:rPr>
  </w:style>
  <w:style w:type="character" w:styleId="35" w:customStyle="1">
    <w:name w:val="Стандарт Знак3"/>
    <w:link w:val="Style63"/>
    <w:qFormat/>
    <w:rsid w:val="00c40d88"/>
    <w:rPr>
      <w:rFonts w:ascii="Times New Roman" w:hAnsi="Times New Roman" w:eastAsia="Times New Roman"/>
      <w:sz w:val="28"/>
    </w:rPr>
  </w:style>
  <w:style w:type="character" w:styleId="Systempagebreak" w:customStyle="1">
    <w:name w:val="system-pagebreak"/>
    <w:basedOn w:val="DefaultParagraphFont"/>
    <w:qFormat/>
    <w:rsid w:val="00633069"/>
    <w:rPr/>
  </w:style>
  <w:style w:type="character" w:styleId="121" w:customStyle="1">
    <w:name w:val="без отступа12 Знак"/>
    <w:link w:val="125"/>
    <w:qFormat/>
    <w:rsid w:val="00633069"/>
    <w:rPr>
      <w:rFonts w:ascii="Times New Roman" w:hAnsi="Times New Roman" w:eastAsia="Times New Roman"/>
      <w:sz w:val="24"/>
      <w:szCs w:val="24"/>
      <w:lang w:eastAsia="en-US"/>
    </w:rPr>
  </w:style>
  <w:style w:type="character" w:styleId="122" w:customStyle="1">
    <w:name w:val="12таблица Знак"/>
    <w:link w:val="126"/>
    <w:qFormat/>
    <w:rsid w:val="00633069"/>
    <w:rPr>
      <w:rFonts w:ascii="Times New Roman" w:hAnsi="Times New Roman" w:eastAsia="Times New Roman"/>
      <w:sz w:val="24"/>
      <w:szCs w:val="24"/>
      <w:lang w:eastAsia="en-US"/>
    </w:rPr>
  </w:style>
  <w:style w:type="character" w:styleId="17" w:customStyle="1">
    <w:name w:val="Слабое выделение1"/>
    <w:qFormat/>
    <w:rsid w:val="00633069"/>
    <w:rPr>
      <w:rFonts w:ascii="Times New Roman" w:hAnsi="Times New Roman" w:cs="Times New Roman"/>
      <w:iCs/>
      <w:strike w:val="false"/>
      <w:dstrike w:val="false"/>
      <w:color w:val="auto"/>
      <w:sz w:val="22"/>
      <w:u w:val="none"/>
      <w:effect w:val="none"/>
    </w:rPr>
  </w:style>
  <w:style w:type="character" w:styleId="Style32" w:customStyle="1">
    <w:name w:val="!!_Текст Знак"/>
    <w:link w:val="Style64"/>
    <w:qFormat/>
    <w:rsid w:val="00013d1f"/>
    <w:rPr>
      <w:rFonts w:ascii="Times New Roman" w:hAnsi="Times New Roman" w:eastAsia="Arial"/>
      <w:sz w:val="22"/>
      <w:szCs w:val="22"/>
      <w:lang w:val="x-none" w:bidi="ru-RU"/>
    </w:rPr>
  </w:style>
  <w:style w:type="character" w:styleId="Style33">
    <w:name w:val="Ссылка указателя"/>
    <w:qFormat/>
    <w:rPr/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35">
    <w:name w:val="Body Text"/>
    <w:basedOn w:val="Normal"/>
    <w:link w:val="Style14"/>
    <w:uiPriority w:val="99"/>
    <w:rsid w:val="005b1069"/>
    <w:pPr>
      <w:spacing w:lineRule="auto" w:line="240" w:before="0" w:after="0"/>
      <w:ind w:hanging="0"/>
    </w:pPr>
    <w:rPr>
      <w:rFonts w:eastAsia="Times New Roman"/>
      <w:szCs w:val="24"/>
      <w:lang w:eastAsia="ru-RU"/>
    </w:rPr>
  </w:style>
  <w:style w:type="paragraph" w:styleId="Style36">
    <w:name w:val="List"/>
    <w:basedOn w:val="Style35"/>
    <w:pPr/>
    <w:rPr>
      <w:rFonts w:cs="Lohit Devanagari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cs="Lohit Devanagari"/>
    </w:rPr>
  </w:style>
  <w:style w:type="paragraph" w:styleId="Style39">
    <w:name w:val="Title"/>
    <w:basedOn w:val="Normal"/>
    <w:next w:val="Normal"/>
    <w:link w:val="Style5"/>
    <w:autoRedefine/>
    <w:uiPriority w:val="10"/>
    <w:qFormat/>
    <w:rsid w:val="00eb0bb8"/>
    <w:pPr>
      <w:spacing w:lineRule="auto" w:line="240" w:before="0" w:after="300"/>
      <w:contextualSpacing/>
      <w:jc w:val="center"/>
    </w:pPr>
    <w:rPr>
      <w:rFonts w:eastAsia="Times New Roman"/>
      <w:b/>
      <w:spacing w:val="5"/>
      <w:kern w:val="2"/>
      <w:sz w:val="28"/>
      <w:szCs w:val="52"/>
    </w:rPr>
  </w:style>
  <w:style w:type="paragraph" w:styleId="Annotationtext">
    <w:name w:val="annotation text"/>
    <w:basedOn w:val="Normal"/>
    <w:link w:val="Style6"/>
    <w:uiPriority w:val="99"/>
    <w:semiHidden/>
    <w:unhideWhenUsed/>
    <w:qFormat/>
    <w:rsid w:val="00d21cd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7"/>
    <w:uiPriority w:val="99"/>
    <w:semiHidden/>
    <w:unhideWhenUsed/>
    <w:qFormat/>
    <w:rsid w:val="00d21cdf"/>
    <w:pPr/>
    <w:rPr>
      <w:b/>
      <w:bCs/>
    </w:rPr>
  </w:style>
  <w:style w:type="paragraph" w:styleId="BalloonText">
    <w:name w:val="Balloon Text"/>
    <w:basedOn w:val="Normal"/>
    <w:link w:val="Style8"/>
    <w:uiPriority w:val="99"/>
    <w:unhideWhenUsed/>
    <w:qFormat/>
    <w:rsid w:val="00d21c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40" w:customStyle="1">
    <w:name w:val="Название таблиц"/>
    <w:basedOn w:val="Normal"/>
    <w:qFormat/>
    <w:rsid w:val="007b2af0"/>
    <w:pPr>
      <w:jc w:val="center"/>
    </w:pPr>
    <w:rPr>
      <w:b/>
    </w:rPr>
  </w:style>
  <w:style w:type="paragraph" w:styleId="Style41" w:customStyle="1">
    <w:name w:val="Примечание"/>
    <w:basedOn w:val="Normal"/>
    <w:link w:val="Style9"/>
    <w:qFormat/>
    <w:rsid w:val="007b2af0"/>
    <w:pPr/>
    <w:rPr>
      <w:sz w:val="20"/>
    </w:rPr>
  </w:style>
  <w:style w:type="paragraph" w:styleId="NormalWeb">
    <w:name w:val="Normal (Web)"/>
    <w:basedOn w:val="Normal"/>
    <w:uiPriority w:val="99"/>
    <w:unhideWhenUsed/>
    <w:qFormat/>
    <w:rsid w:val="00731cb3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ListParagraph">
    <w:name w:val="List Paragraph"/>
    <w:basedOn w:val="Normal"/>
    <w:link w:val="Style27"/>
    <w:uiPriority w:val="99"/>
    <w:qFormat/>
    <w:rsid w:val="00751058"/>
    <w:pPr>
      <w:spacing w:lineRule="auto" w:line="240" w:before="0" w:after="0"/>
      <w:ind w:left="720" w:hanging="0"/>
      <w:contextualSpacing/>
      <w:jc w:val="left"/>
    </w:pPr>
    <w:rPr>
      <w:rFonts w:eastAsia="Times New Roman"/>
      <w:sz w:val="26"/>
      <w:szCs w:val="24"/>
      <w:lang w:eastAsia="ru-RU"/>
    </w:rPr>
  </w:style>
  <w:style w:type="paragraph" w:styleId="18" w:customStyle="1">
    <w:name w:val="Без интервала1"/>
    <w:qFormat/>
    <w:rsid w:val="0072685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Standard" w:customStyle="1">
    <w:name w:val="Standard"/>
    <w:qFormat/>
    <w:rsid w:val="00670eb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eastAsia="zh-CN" w:bidi="hi-IN" w:val="ru-RU"/>
    </w:rPr>
  </w:style>
  <w:style w:type="paragraph" w:styleId="Style81" w:customStyle="1">
    <w:name w:val="Style8"/>
    <w:basedOn w:val="Standard"/>
    <w:qFormat/>
    <w:rsid w:val="00670ebe"/>
    <w:pPr/>
    <w:rPr/>
  </w:style>
  <w:style w:type="paragraph" w:styleId="Style341" w:customStyle="1">
    <w:name w:val="Style34"/>
    <w:basedOn w:val="Standard"/>
    <w:qFormat/>
    <w:rsid w:val="00670ebe"/>
    <w:pPr/>
    <w:rPr/>
  </w:style>
  <w:style w:type="paragraph" w:styleId="Style59" w:customStyle="1">
    <w:name w:val="Style59"/>
    <w:basedOn w:val="Standard"/>
    <w:qFormat/>
    <w:rsid w:val="00670ebe"/>
    <w:pPr/>
    <w:rPr/>
  </w:style>
  <w:style w:type="paragraph" w:styleId="Revision">
    <w:name w:val="Revision"/>
    <w:uiPriority w:val="99"/>
    <w:semiHidden/>
    <w:qFormat/>
    <w:rsid w:val="005c5411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ru-RU" w:bidi="ar-SA"/>
    </w:rPr>
  </w:style>
  <w:style w:type="paragraph" w:styleId="Style371" w:customStyle="1">
    <w:name w:val="Style37"/>
    <w:basedOn w:val="Standard"/>
    <w:qFormat/>
    <w:rsid w:val="00dc473a"/>
    <w:pPr/>
    <w:rPr/>
  </w:style>
  <w:style w:type="paragraph" w:styleId="Style57" w:customStyle="1">
    <w:name w:val="Style57"/>
    <w:basedOn w:val="Standard"/>
    <w:qFormat/>
    <w:rsid w:val="00dc473a"/>
    <w:pPr/>
    <w:rPr/>
  </w:style>
  <w:style w:type="paragraph" w:styleId="Style171" w:customStyle="1">
    <w:name w:val="Style17"/>
    <w:basedOn w:val="Standard"/>
    <w:qFormat/>
    <w:rsid w:val="00dc473a"/>
    <w:pPr/>
    <w:rPr/>
  </w:style>
  <w:style w:type="paragraph" w:styleId="Style201" w:customStyle="1">
    <w:name w:val="Style20"/>
    <w:basedOn w:val="Standard"/>
    <w:qFormat/>
    <w:rsid w:val="00dc473a"/>
    <w:pPr/>
    <w:rPr/>
  </w:style>
  <w:style w:type="paragraph" w:styleId="Style82" w:customStyle="1">
    <w:name w:val="Style82"/>
    <w:basedOn w:val="Standard"/>
    <w:qFormat/>
    <w:rsid w:val="00dc473a"/>
    <w:pPr/>
    <w:rPr/>
  </w:style>
  <w:style w:type="paragraph" w:styleId="Style141" w:customStyle="1">
    <w:name w:val="Style14"/>
    <w:basedOn w:val="Standard"/>
    <w:qFormat/>
    <w:rsid w:val="00dc473a"/>
    <w:pPr/>
    <w:rPr/>
  </w:style>
  <w:style w:type="paragraph" w:styleId="Style281" w:customStyle="1">
    <w:name w:val="Style28"/>
    <w:basedOn w:val="Standard"/>
    <w:qFormat/>
    <w:rsid w:val="003b1395"/>
    <w:pPr/>
    <w:rPr/>
  </w:style>
  <w:style w:type="paragraph" w:styleId="Style151" w:customStyle="1">
    <w:name w:val="Style15"/>
    <w:basedOn w:val="Standard"/>
    <w:qFormat/>
    <w:rsid w:val="003b1395"/>
    <w:pPr/>
    <w:rPr/>
  </w:style>
  <w:style w:type="paragraph" w:styleId="Style251" w:customStyle="1">
    <w:name w:val="Style25"/>
    <w:basedOn w:val="Standard"/>
    <w:qFormat/>
    <w:rsid w:val="003b1395"/>
    <w:pPr/>
    <w:rPr/>
  </w:style>
  <w:style w:type="paragraph" w:styleId="Caption">
    <w:name w:val="caption"/>
    <w:basedOn w:val="Normal"/>
    <w:next w:val="Normal"/>
    <w:qFormat/>
    <w:rsid w:val="009a28bc"/>
    <w:pPr>
      <w:spacing w:lineRule="auto" w:line="240"/>
      <w:ind w:hanging="0"/>
      <w:jc w:val="left"/>
    </w:pPr>
    <w:rPr>
      <w:rFonts w:eastAsia="Times New Roman"/>
      <w:b/>
      <w:bCs/>
      <w:color w:val="4F81BD"/>
      <w:sz w:val="18"/>
      <w:szCs w:val="18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f00131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ind w:hanging="0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42">
    <w:name w:val="Body Text Indent"/>
    <w:basedOn w:val="Normal"/>
    <w:link w:val="Style11"/>
    <w:rsid w:val="00da123e"/>
    <w:pPr>
      <w:spacing w:lineRule="atLeast" w:line="100" w:before="0" w:after="120"/>
      <w:ind w:left="283" w:hanging="0"/>
    </w:pPr>
    <w:rPr>
      <w:rFonts w:ascii="Arial" w:hAnsi="Arial" w:cs="Arial"/>
    </w:rPr>
  </w:style>
  <w:style w:type="paragraph" w:styleId="Style43">
    <w:name w:val="Index Heading"/>
    <w:basedOn w:val="Style34"/>
    <w:pPr/>
    <w:rPr/>
  </w:style>
  <w:style w:type="paragraph" w:styleId="Style44">
    <w:name w:val="TOC Heading"/>
    <w:basedOn w:val="1"/>
    <w:next w:val="Normal"/>
    <w:uiPriority w:val="39"/>
    <w:unhideWhenUsed/>
    <w:qFormat/>
    <w:rsid w:val="00403008"/>
    <w:pPr>
      <w:ind w:hanging="0"/>
      <w:jc w:val="left"/>
      <w:outlineLvl w:val="9"/>
    </w:pPr>
    <w:rPr>
      <w:rFonts w:ascii="Cambria" w:hAnsi="Cambria"/>
      <w:color w:val="365F91"/>
      <w:sz w:val="28"/>
    </w:rPr>
  </w:style>
  <w:style w:type="paragraph" w:styleId="19">
    <w:name w:val="TOC 1"/>
    <w:basedOn w:val="Normal"/>
    <w:next w:val="Normal"/>
    <w:autoRedefine/>
    <w:uiPriority w:val="39"/>
    <w:unhideWhenUsed/>
    <w:rsid w:val="001913d4"/>
    <w:pPr>
      <w:tabs>
        <w:tab w:val="clear" w:pos="709"/>
        <w:tab w:val="right" w:pos="10195" w:leader="dot"/>
      </w:tabs>
      <w:spacing w:before="0" w:after="100"/>
    </w:pPr>
    <w:rPr/>
  </w:style>
  <w:style w:type="paragraph" w:styleId="27">
    <w:name w:val="TOC 2"/>
    <w:basedOn w:val="Normal"/>
    <w:next w:val="Normal"/>
    <w:autoRedefine/>
    <w:uiPriority w:val="39"/>
    <w:unhideWhenUsed/>
    <w:rsid w:val="00e113c8"/>
    <w:pPr>
      <w:tabs>
        <w:tab w:val="clear" w:pos="709"/>
        <w:tab w:val="left" w:pos="1440" w:leader="none"/>
        <w:tab w:val="right" w:pos="9911" w:leader="dot"/>
      </w:tabs>
      <w:spacing w:before="0" w:after="100"/>
    </w:pPr>
    <w:rPr/>
  </w:style>
  <w:style w:type="paragraph" w:styleId="146" w:customStyle="1">
    <w:name w:val="Текст 14(основной)"/>
    <w:basedOn w:val="Normal"/>
    <w:link w:val="14"/>
    <w:autoRedefine/>
    <w:uiPriority w:val="99"/>
    <w:qFormat/>
    <w:rsid w:val="00f55e27"/>
    <w:pPr>
      <w:ind w:left="284" w:hanging="0"/>
    </w:pPr>
    <w:rPr>
      <w:rFonts w:eastAsia="Times New Roman"/>
      <w:szCs w:val="28"/>
      <w:lang w:eastAsia="ru-RU"/>
    </w:rPr>
  </w:style>
  <w:style w:type="paragraph" w:styleId="Style45">
    <w:name w:val="Колонтитул"/>
    <w:basedOn w:val="Normal"/>
    <w:qFormat/>
    <w:pPr/>
    <w:rPr/>
  </w:style>
  <w:style w:type="paragraph" w:styleId="Style46">
    <w:name w:val="Header"/>
    <w:link w:val="Style12"/>
    <w:uiPriority w:val="99"/>
    <w:unhideWhenUsed/>
    <w:qFormat/>
    <w:rsid w:val="005b1069"/>
    <w:pPr>
      <w:widowControl/>
      <w:tabs>
        <w:tab w:val="clear" w:pos="709"/>
        <w:tab w:val="center" w:pos="4677" w:leader="none"/>
        <w:tab w:val="right" w:pos="9355" w:leader="none"/>
      </w:tabs>
      <w:bidi w:val="0"/>
      <w:spacing w:before="0" w:after="200"/>
      <w:jc w:val="left"/>
    </w:pPr>
    <w:rPr>
      <w:rFonts w:ascii="Times New Roman" w:hAnsi="Times New Roman" w:eastAsia="Times New Roman" w:cs="Times New Roman"/>
      <w:b/>
      <w:i/>
      <w:color w:val="auto"/>
      <w:kern w:val="0"/>
      <w:sz w:val="24"/>
      <w:szCs w:val="24"/>
      <w:lang w:val="ru-RU" w:eastAsia="ru-RU" w:bidi="ar-SA"/>
    </w:rPr>
  </w:style>
  <w:style w:type="paragraph" w:styleId="Style47">
    <w:name w:val="Footer"/>
    <w:basedOn w:val="Normal"/>
    <w:link w:val="Style13"/>
    <w:uiPriority w:val="99"/>
    <w:unhideWhenUsed/>
    <w:rsid w:val="005b1069"/>
    <w:pPr>
      <w:tabs>
        <w:tab w:val="clear" w:pos="709"/>
        <w:tab w:val="center" w:pos="4677" w:leader="none"/>
        <w:tab w:val="right" w:pos="9355" w:leader="none"/>
      </w:tabs>
      <w:spacing w:lineRule="auto" w:line="360" w:before="0" w:after="0"/>
      <w:ind w:firstLine="709"/>
      <w:contextualSpacing/>
    </w:pPr>
    <w:rPr>
      <w:rFonts w:eastAsia="Times New Roman"/>
      <w:sz w:val="28"/>
      <w:szCs w:val="24"/>
      <w:lang w:eastAsia="ru-RU"/>
    </w:rPr>
  </w:style>
  <w:style w:type="paragraph" w:styleId="1211" w:customStyle="1">
    <w:name w:val="Стиль 12 пт1"/>
    <w:next w:val="Normal"/>
    <w:uiPriority w:val="99"/>
    <w:qFormat/>
    <w:rsid w:val="005b1069"/>
    <w:pPr>
      <w:widowControl/>
      <w:bidi w:val="0"/>
      <w:spacing w:before="0" w:after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6">
    <w:name w:val="TOC 3"/>
    <w:basedOn w:val="Normal"/>
    <w:next w:val="Normal"/>
    <w:autoRedefine/>
    <w:uiPriority w:val="39"/>
    <w:unhideWhenUsed/>
    <w:rsid w:val="005b1069"/>
    <w:pPr>
      <w:tabs>
        <w:tab w:val="clear" w:pos="709"/>
        <w:tab w:val="right" w:pos="9345" w:leader="dot"/>
      </w:tabs>
      <w:spacing w:lineRule="auto" w:line="240" w:before="0" w:after="100"/>
      <w:ind w:left="560" w:firstLine="149"/>
      <w:contextualSpacing/>
    </w:pPr>
    <w:rPr>
      <w:rFonts w:eastAsia="Times New Roman"/>
      <w:i/>
      <w:sz w:val="20"/>
      <w:szCs w:val="24"/>
      <w:lang w:eastAsia="ru-RU"/>
    </w:rPr>
  </w:style>
  <w:style w:type="paragraph" w:styleId="123" w:customStyle="1">
    <w:name w:val="Текст 12(таблица)"/>
    <w:basedOn w:val="Normal"/>
    <w:uiPriority w:val="99"/>
    <w:qFormat/>
    <w:rsid w:val="005b1069"/>
    <w:pPr>
      <w:spacing w:lineRule="auto" w:line="240" w:before="0" w:after="0"/>
      <w:ind w:hanging="0"/>
    </w:pPr>
    <w:rPr>
      <w:rFonts w:eastAsia="Times New Roman"/>
      <w:szCs w:val="24"/>
      <w:lang w:val="en-US" w:eastAsia="ru-RU"/>
    </w:rPr>
  </w:style>
  <w:style w:type="paragraph" w:styleId="10" w:customStyle="1">
    <w:name w:val="Текст 10(таблица)"/>
    <w:basedOn w:val="Normal"/>
    <w:uiPriority w:val="99"/>
    <w:qFormat/>
    <w:rsid w:val="005b1069"/>
    <w:pPr>
      <w:spacing w:lineRule="auto" w:line="240" w:before="0" w:after="0"/>
      <w:ind w:hanging="0"/>
    </w:pPr>
    <w:rPr>
      <w:rFonts w:eastAsia="Times New Roman"/>
      <w:sz w:val="20"/>
      <w:szCs w:val="24"/>
      <w:lang w:val="en-US" w:eastAsia="ru-RU"/>
    </w:rPr>
  </w:style>
  <w:style w:type="paragraph" w:styleId="147" w:customStyle="1">
    <w:name w:val="Текст 14(поцентру) Знак"/>
    <w:basedOn w:val="Normal"/>
    <w:link w:val="141"/>
    <w:qFormat/>
    <w:rsid w:val="005b1069"/>
    <w:pPr>
      <w:spacing w:lineRule="auto" w:line="360" w:before="0" w:after="0"/>
      <w:ind w:left="708" w:firstLine="708"/>
      <w:jc w:val="center"/>
    </w:pPr>
    <w:rPr>
      <w:rFonts w:eastAsia="Times New Roman"/>
      <w:sz w:val="28"/>
      <w:szCs w:val="24"/>
      <w:lang w:eastAsia="ru-RU"/>
    </w:rPr>
  </w:style>
  <w:style w:type="paragraph" w:styleId="148" w:customStyle="1">
    <w:name w:val="Текст 14(таблица)"/>
    <w:basedOn w:val="146"/>
    <w:uiPriority w:val="99"/>
    <w:qFormat/>
    <w:rsid w:val="005b1069"/>
    <w:pPr>
      <w:ind w:left="284" w:firstLine="709"/>
    </w:pPr>
    <w:rPr>
      <w:color w:val="000000"/>
      <w:szCs w:val="24"/>
      <w:lang w:val="en-US"/>
    </w:rPr>
  </w:style>
  <w:style w:type="paragraph" w:styleId="149" w:customStyle="1">
    <w:name w:val="Текст 14(справа)"/>
    <w:basedOn w:val="146"/>
    <w:link w:val="142"/>
    <w:uiPriority w:val="99"/>
    <w:qFormat/>
    <w:rsid w:val="005b1069"/>
    <w:pPr>
      <w:ind w:left="284" w:firstLine="709"/>
      <w:jc w:val="right"/>
    </w:pPr>
    <w:rPr>
      <w:color w:val="000000"/>
      <w:szCs w:val="24"/>
    </w:rPr>
  </w:style>
  <w:style w:type="paragraph" w:styleId="1410" w:customStyle="1">
    <w:name w:val="Текст 14(поцентру)"/>
    <w:basedOn w:val="149"/>
    <w:uiPriority w:val="99"/>
    <w:qFormat/>
    <w:rsid w:val="005b1069"/>
    <w:pPr>
      <w:ind w:left="708" w:firstLine="709"/>
      <w:jc w:val="center"/>
    </w:pPr>
    <w:rPr/>
  </w:style>
  <w:style w:type="paragraph" w:styleId="Style48" w:customStyle="1">
    <w:name w:val="основной текст"/>
    <w:basedOn w:val="Normal"/>
    <w:uiPriority w:val="99"/>
    <w:qFormat/>
    <w:rsid w:val="005b1069"/>
    <w:pPr>
      <w:spacing w:lineRule="auto" w:line="240" w:before="0" w:after="120"/>
      <w:ind w:firstLine="851"/>
    </w:pPr>
    <w:rPr>
      <w:rFonts w:ascii="Arial" w:hAnsi="Arial" w:eastAsia="Times New Roman"/>
      <w:sz w:val="28"/>
      <w:szCs w:val="20"/>
      <w:lang w:eastAsia="ru-RU"/>
    </w:rPr>
  </w:style>
  <w:style w:type="paragraph" w:styleId="Normal2" w:customStyle="1">
    <w:name w:val="Normal Знак Знак Знак Знак Знак Знак"/>
    <w:link w:val="Normal1"/>
    <w:uiPriority w:val="99"/>
    <w:qFormat/>
    <w:rsid w:val="005b1069"/>
    <w:pPr>
      <w:widowControl/>
      <w:bidi w:val="0"/>
      <w:spacing w:before="100" w:after="1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32"/>
    <w:uiPriority w:val="99"/>
    <w:qFormat/>
    <w:rsid w:val="005b1069"/>
    <w:pPr>
      <w:spacing w:lineRule="auto" w:line="480" w:before="0" w:after="0"/>
      <w:ind w:firstLine="709"/>
    </w:pPr>
    <w:rPr>
      <w:rFonts w:eastAsia="Times New Roman"/>
      <w:szCs w:val="20"/>
      <w:lang w:eastAsia="ru-RU"/>
    </w:rPr>
  </w:style>
  <w:style w:type="paragraph" w:styleId="BodyTextIndent2">
    <w:name w:val="Body Text Indent 2"/>
    <w:basedOn w:val="Normal"/>
    <w:link w:val="22"/>
    <w:uiPriority w:val="99"/>
    <w:qFormat/>
    <w:rsid w:val="005b1069"/>
    <w:pPr>
      <w:spacing w:lineRule="auto" w:line="240" w:before="0" w:after="0"/>
      <w:ind w:firstLine="709"/>
      <w:jc w:val="center"/>
    </w:pPr>
    <w:rPr>
      <w:rFonts w:eastAsia="Times New Roman"/>
      <w:b/>
      <w:i/>
      <w:szCs w:val="20"/>
      <w:lang w:eastAsia="ru-RU"/>
    </w:rPr>
  </w:style>
  <w:style w:type="paragraph" w:styleId="BodyText2">
    <w:name w:val="Body Text 2"/>
    <w:basedOn w:val="Normal"/>
    <w:link w:val="23"/>
    <w:uiPriority w:val="99"/>
    <w:qFormat/>
    <w:rsid w:val="005b1069"/>
    <w:pPr>
      <w:tabs>
        <w:tab w:val="clear" w:pos="709"/>
        <w:tab w:val="left" w:pos="0" w:leader="none"/>
      </w:tabs>
      <w:spacing w:lineRule="auto" w:line="240" w:before="0" w:after="0"/>
      <w:ind w:hanging="0"/>
      <w:jc w:val="center"/>
    </w:pPr>
    <w:rPr>
      <w:rFonts w:eastAsia="Times New Roman"/>
      <w:b/>
      <w:bCs/>
      <w:i/>
      <w:iCs/>
      <w:szCs w:val="24"/>
      <w:lang w:eastAsia="ru-RU"/>
    </w:rPr>
  </w:style>
  <w:style w:type="paragraph" w:styleId="BodyText3">
    <w:name w:val="Body Text 3"/>
    <w:basedOn w:val="Normal"/>
    <w:link w:val="33"/>
    <w:uiPriority w:val="99"/>
    <w:qFormat/>
    <w:rsid w:val="005b1069"/>
    <w:pPr>
      <w:spacing w:lineRule="auto" w:line="240" w:before="0" w:after="0"/>
      <w:ind w:hanging="0"/>
      <w:jc w:val="center"/>
    </w:pPr>
    <w:rPr>
      <w:rFonts w:eastAsia="Times New Roman"/>
      <w:szCs w:val="24"/>
      <w:lang w:eastAsia="ru-RU"/>
    </w:rPr>
  </w:style>
  <w:style w:type="paragraph" w:styleId="H2" w:customStyle="1">
    <w:name w:val="h2"/>
    <w:basedOn w:val="Style39"/>
    <w:uiPriority w:val="99"/>
    <w:qFormat/>
    <w:rsid w:val="005b1069"/>
    <w:pPr/>
    <w:rPr/>
  </w:style>
  <w:style w:type="paragraph" w:styleId="Style49">
    <w:name w:val="Subtitle"/>
    <w:basedOn w:val="Normal"/>
    <w:link w:val="Style15"/>
    <w:uiPriority w:val="99"/>
    <w:qFormat/>
    <w:rsid w:val="005b1069"/>
    <w:pPr>
      <w:spacing w:lineRule="auto" w:line="240" w:before="0" w:after="0"/>
      <w:ind w:hanging="0"/>
      <w:jc w:val="left"/>
    </w:pPr>
    <w:rPr>
      <w:rFonts w:eastAsia="Times New Roman"/>
      <w:b/>
      <w:bCs/>
      <w:szCs w:val="24"/>
      <w:lang w:eastAsia="ru-RU"/>
    </w:rPr>
  </w:style>
  <w:style w:type="paragraph" w:styleId="42">
    <w:name w:val="TOC 4"/>
    <w:basedOn w:val="Normal"/>
    <w:next w:val="Normal"/>
    <w:autoRedefine/>
    <w:uiPriority w:val="39"/>
    <w:rsid w:val="005b1069"/>
    <w:pPr>
      <w:spacing w:lineRule="auto" w:line="240" w:before="0" w:after="0"/>
      <w:ind w:left="720" w:hanging="0"/>
      <w:jc w:val="left"/>
    </w:pPr>
    <w:rPr>
      <w:rFonts w:eastAsia="Times New Roman"/>
      <w:sz w:val="18"/>
      <w:szCs w:val="18"/>
      <w:lang w:eastAsia="ru-RU"/>
    </w:rPr>
  </w:style>
  <w:style w:type="paragraph" w:styleId="52">
    <w:name w:val="TOC 5"/>
    <w:basedOn w:val="Normal"/>
    <w:next w:val="Normal"/>
    <w:autoRedefine/>
    <w:uiPriority w:val="39"/>
    <w:rsid w:val="005b1069"/>
    <w:pPr>
      <w:spacing w:lineRule="auto" w:line="240" w:before="0" w:after="0"/>
      <w:ind w:left="960" w:hanging="0"/>
      <w:jc w:val="left"/>
    </w:pPr>
    <w:rPr>
      <w:rFonts w:eastAsia="Times New Roman"/>
      <w:sz w:val="18"/>
      <w:szCs w:val="18"/>
      <w:lang w:eastAsia="ru-RU"/>
    </w:rPr>
  </w:style>
  <w:style w:type="paragraph" w:styleId="62">
    <w:name w:val="TOC 6"/>
    <w:basedOn w:val="Normal"/>
    <w:next w:val="Normal"/>
    <w:autoRedefine/>
    <w:uiPriority w:val="39"/>
    <w:rsid w:val="005b1069"/>
    <w:pPr>
      <w:spacing w:lineRule="auto" w:line="240" w:before="0" w:after="0"/>
      <w:ind w:left="1200" w:hanging="0"/>
      <w:jc w:val="left"/>
    </w:pPr>
    <w:rPr>
      <w:rFonts w:eastAsia="Times New Roman"/>
      <w:sz w:val="18"/>
      <w:szCs w:val="18"/>
      <w:lang w:eastAsia="ru-RU"/>
    </w:rPr>
  </w:style>
  <w:style w:type="paragraph" w:styleId="72">
    <w:name w:val="TOC 7"/>
    <w:basedOn w:val="Normal"/>
    <w:next w:val="Normal"/>
    <w:autoRedefine/>
    <w:uiPriority w:val="39"/>
    <w:rsid w:val="005b1069"/>
    <w:pPr>
      <w:spacing w:lineRule="auto" w:line="240" w:before="0" w:after="0"/>
      <w:ind w:left="1440" w:hanging="0"/>
      <w:jc w:val="left"/>
    </w:pPr>
    <w:rPr>
      <w:rFonts w:eastAsia="Times New Roman"/>
      <w:sz w:val="18"/>
      <w:szCs w:val="18"/>
      <w:lang w:eastAsia="ru-RU"/>
    </w:rPr>
  </w:style>
  <w:style w:type="paragraph" w:styleId="82">
    <w:name w:val="TOC 8"/>
    <w:basedOn w:val="Normal"/>
    <w:next w:val="Normal"/>
    <w:autoRedefine/>
    <w:uiPriority w:val="39"/>
    <w:rsid w:val="005b1069"/>
    <w:pPr>
      <w:spacing w:lineRule="auto" w:line="240" w:before="0" w:after="0"/>
      <w:ind w:left="1680" w:hanging="0"/>
      <w:jc w:val="left"/>
    </w:pPr>
    <w:rPr>
      <w:rFonts w:eastAsia="Times New Roman"/>
      <w:sz w:val="18"/>
      <w:szCs w:val="18"/>
      <w:lang w:eastAsia="ru-RU"/>
    </w:rPr>
  </w:style>
  <w:style w:type="paragraph" w:styleId="92">
    <w:name w:val="TOC 9"/>
    <w:basedOn w:val="Normal"/>
    <w:next w:val="Normal"/>
    <w:autoRedefine/>
    <w:uiPriority w:val="39"/>
    <w:rsid w:val="005b1069"/>
    <w:pPr>
      <w:spacing w:lineRule="auto" w:line="240" w:before="0" w:after="0"/>
      <w:ind w:left="1920" w:hanging="0"/>
      <w:jc w:val="left"/>
    </w:pPr>
    <w:rPr>
      <w:rFonts w:eastAsia="Times New Roman"/>
      <w:sz w:val="18"/>
      <w:szCs w:val="18"/>
      <w:lang w:eastAsia="ru-RU"/>
    </w:rPr>
  </w:style>
  <w:style w:type="paragraph" w:styleId="BlockText">
    <w:name w:val="Block Text"/>
    <w:basedOn w:val="Normal"/>
    <w:uiPriority w:val="99"/>
    <w:qFormat/>
    <w:rsid w:val="005b1069"/>
    <w:pPr>
      <w:spacing w:lineRule="auto" w:line="240" w:before="0" w:after="0"/>
      <w:ind w:left="-74" w:right="-109" w:hanging="0"/>
      <w:jc w:val="center"/>
    </w:pPr>
    <w:rPr>
      <w:rFonts w:eastAsia="Times New Roman"/>
      <w:szCs w:val="24"/>
      <w:lang w:eastAsia="ru-RU"/>
    </w:rPr>
  </w:style>
  <w:style w:type="paragraph" w:styleId="Xl24" w:customStyle="1">
    <w:name w:val="xl24"/>
    <w:basedOn w:val="Normal"/>
    <w:uiPriority w:val="99"/>
    <w:qFormat/>
    <w:rsid w:val="005b1069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eastAsia="Times New Roman"/>
      <w:szCs w:val="24"/>
      <w:lang w:eastAsia="ru-RU"/>
    </w:rPr>
  </w:style>
  <w:style w:type="paragraph" w:styleId="ConsNormal" w:customStyle="1">
    <w:name w:val="ConsNormal"/>
    <w:uiPriority w:val="99"/>
    <w:qFormat/>
    <w:rsid w:val="005b1069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50">
    <w:name w:val="Footnote Text"/>
    <w:basedOn w:val="Normal"/>
    <w:link w:val="Style17"/>
    <w:uiPriority w:val="99"/>
    <w:rsid w:val="005b1069"/>
    <w:pPr>
      <w:spacing w:lineRule="auto" w:line="240" w:before="0" w:after="0"/>
      <w:ind w:hanging="0"/>
      <w:jc w:val="left"/>
    </w:pPr>
    <w:rPr>
      <w:rFonts w:eastAsia="Times New Roman"/>
      <w:sz w:val="20"/>
      <w:szCs w:val="20"/>
      <w:lang w:eastAsia="ru-RU"/>
    </w:rPr>
  </w:style>
  <w:style w:type="paragraph" w:styleId="110" w:customStyle="1">
    <w:name w:val="Обычный1"/>
    <w:uiPriority w:val="99"/>
    <w:qFormat/>
    <w:rsid w:val="005b106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ru-RU" w:eastAsia="ru-RU" w:bidi="ar-SA"/>
    </w:rPr>
  </w:style>
  <w:style w:type="paragraph" w:styleId="PlainText">
    <w:name w:val="Plain Text"/>
    <w:basedOn w:val="Normal"/>
    <w:link w:val="Style18"/>
    <w:uiPriority w:val="99"/>
    <w:qFormat/>
    <w:rsid w:val="005b1069"/>
    <w:pPr>
      <w:spacing w:lineRule="auto" w:line="240" w:before="0" w:after="0"/>
      <w:ind w:hanging="0"/>
      <w:jc w:val="left"/>
    </w:pPr>
    <w:rPr>
      <w:rFonts w:ascii="Courier New" w:hAnsi="Courier New" w:eastAsia="Times New Roman"/>
      <w:sz w:val="20"/>
      <w:szCs w:val="20"/>
      <w:lang w:eastAsia="ru-RU"/>
    </w:rPr>
  </w:style>
  <w:style w:type="paragraph" w:styleId="NoSpacing">
    <w:name w:val="No Spacing"/>
    <w:basedOn w:val="Normal"/>
    <w:link w:val="Style24"/>
    <w:qFormat/>
    <w:rsid w:val="005b1069"/>
    <w:pPr>
      <w:spacing w:lineRule="auto" w:line="240" w:before="0" w:after="0"/>
      <w:ind w:hanging="0"/>
      <w:jc w:val="left"/>
    </w:pPr>
    <w:rPr>
      <w:rFonts w:ascii="Calibri" w:hAnsi="Calibri" w:eastAsia="Times New Roman"/>
      <w:szCs w:val="32"/>
      <w:lang w:val="en-US" w:bidi="en-US"/>
    </w:rPr>
  </w:style>
  <w:style w:type="paragraph" w:styleId="DocumentMap">
    <w:name w:val="Document Map"/>
    <w:basedOn w:val="Normal"/>
    <w:link w:val="Style20"/>
    <w:uiPriority w:val="99"/>
    <w:semiHidden/>
    <w:qFormat/>
    <w:rsid w:val="005b1069"/>
    <w:pPr>
      <w:shd w:val="clear" w:color="auto" w:fill="000080"/>
      <w:spacing w:lineRule="auto" w:line="240" w:before="0" w:after="0"/>
      <w:ind w:hanging="0"/>
      <w:jc w:val="left"/>
    </w:pPr>
    <w:rPr>
      <w:rFonts w:ascii="Tahoma" w:hAnsi="Tahoma" w:eastAsia="Times New Roman"/>
      <w:szCs w:val="24"/>
      <w:lang w:eastAsia="ru-RU"/>
    </w:rPr>
  </w:style>
  <w:style w:type="paragraph" w:styleId="312" w:customStyle="1">
    <w:name w:val="Основной текст с отступом 31"/>
    <w:basedOn w:val="Normal"/>
    <w:uiPriority w:val="99"/>
    <w:qFormat/>
    <w:rsid w:val="005b1069"/>
    <w:pPr>
      <w:tabs>
        <w:tab w:val="clear" w:pos="709"/>
        <w:tab w:val="left" w:pos="8789" w:leader="none"/>
      </w:tabs>
      <w:overflowPunct w:val="true"/>
      <w:spacing w:lineRule="auto" w:line="240" w:before="0" w:after="0"/>
      <w:ind w:firstLine="737"/>
      <w:textAlignment w:val="baseline"/>
    </w:pPr>
    <w:rPr>
      <w:rFonts w:eastAsia="Times New Roman"/>
      <w:sz w:val="28"/>
      <w:szCs w:val="20"/>
      <w:lang w:eastAsia="ru-RU"/>
    </w:rPr>
  </w:style>
  <w:style w:type="paragraph" w:styleId="101" w:customStyle="1">
    <w:name w:val="Титул 10"/>
    <w:basedOn w:val="10"/>
    <w:uiPriority w:val="99"/>
    <w:qFormat/>
    <w:rsid w:val="005b1069"/>
    <w:pPr>
      <w:jc w:val="right"/>
    </w:pPr>
    <w:rPr/>
  </w:style>
  <w:style w:type="paragraph" w:styleId="214" w:customStyle="1">
    <w:name w:val="Основной текст с отступом 21"/>
    <w:basedOn w:val="Normal"/>
    <w:uiPriority w:val="99"/>
    <w:qFormat/>
    <w:rsid w:val="005b1069"/>
    <w:pPr>
      <w:suppressAutoHyphens w:val="true"/>
      <w:spacing w:lineRule="auto" w:line="480" w:before="0" w:after="120"/>
      <w:ind w:left="283" w:hanging="0"/>
      <w:jc w:val="left"/>
    </w:pPr>
    <w:rPr>
      <w:rFonts w:eastAsia="Times New Roman" w:cs="Calibri"/>
      <w:szCs w:val="24"/>
      <w:lang w:eastAsia="ar-SA"/>
    </w:rPr>
  </w:style>
  <w:style w:type="paragraph" w:styleId="Style51" w:customStyle="1">
    <w:name w:val="Знак Знак Знак Знак Знак Знак Знак Знак Знак Знак Знак Знак Знак"/>
    <w:basedOn w:val="Normal"/>
    <w:uiPriority w:val="99"/>
    <w:qFormat/>
    <w:rsid w:val="005b1069"/>
    <w:pPr>
      <w:spacing w:lineRule="auto" w:line="240" w:before="0" w:after="0"/>
      <w:ind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Text" w:customStyle="1">
    <w:name w:val="text"/>
    <w:basedOn w:val="Normal"/>
    <w:uiPriority w:val="99"/>
    <w:qFormat/>
    <w:rsid w:val="005b1069"/>
    <w:pPr>
      <w:spacing w:lineRule="auto" w:line="240" w:before="0" w:after="0"/>
      <w:ind w:left="105" w:right="105" w:firstLine="397"/>
    </w:pPr>
    <w:rPr>
      <w:rFonts w:ascii="Trebuchet MS" w:hAnsi="Trebuchet MS" w:eastAsia="Times New Roman"/>
      <w:szCs w:val="24"/>
      <w:lang w:eastAsia="ru-RU"/>
    </w:rPr>
  </w:style>
  <w:style w:type="paragraph" w:styleId="1412" w:customStyle="1">
    <w:name w:val="Текст 14(курсив)"/>
    <w:basedOn w:val="146"/>
    <w:link w:val="144"/>
    <w:uiPriority w:val="99"/>
    <w:qFormat/>
    <w:rsid w:val="005b1069"/>
    <w:pPr>
      <w:tabs>
        <w:tab w:val="clear" w:pos="709"/>
        <w:tab w:val="left" w:pos="0" w:leader="none"/>
      </w:tabs>
      <w:ind w:left="284" w:firstLine="709"/>
    </w:pPr>
    <w:rPr>
      <w:i/>
      <w:sz w:val="28"/>
    </w:rPr>
  </w:style>
  <w:style w:type="paragraph" w:styleId="181" w:customStyle="1">
    <w:name w:val="Титул 18"/>
    <w:basedOn w:val="101"/>
    <w:uiPriority w:val="99"/>
    <w:qFormat/>
    <w:rsid w:val="005b1069"/>
    <w:pPr/>
    <w:rPr>
      <w:sz w:val="36"/>
    </w:rPr>
  </w:style>
  <w:style w:type="paragraph" w:styleId="222" w:customStyle="1">
    <w:name w:val="Титул 22"/>
    <w:basedOn w:val="181"/>
    <w:uiPriority w:val="99"/>
    <w:qFormat/>
    <w:rsid w:val="005b1069"/>
    <w:pPr>
      <w:ind w:left="708" w:hanging="0"/>
      <w:jc w:val="center"/>
    </w:pPr>
    <w:rPr>
      <w:b/>
      <w:sz w:val="44"/>
    </w:rPr>
  </w:style>
  <w:style w:type="paragraph" w:styleId="Cat1" w:customStyle="1">
    <w:name w:val="cat1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unhideWhenUsed/>
    <w:qFormat/>
    <w:rsid w:val="005b1069"/>
    <w:pPr>
      <w:pBdr>
        <w:bottom w:val="single" w:sz="6" w:space="1" w:color="000000"/>
      </w:pBdr>
      <w:spacing w:lineRule="auto" w:line="240" w:before="0" w:after="0"/>
      <w:ind w:hanging="0"/>
      <w:jc w:val="center"/>
    </w:pPr>
    <w:rPr>
      <w:rFonts w:ascii="Arial" w:hAnsi="Arial" w:eastAsia="Times New Roman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1"/>
    <w:uiPriority w:val="99"/>
    <w:unhideWhenUsed/>
    <w:qFormat/>
    <w:rsid w:val="005b1069"/>
    <w:pPr>
      <w:pBdr>
        <w:top w:val="single" w:sz="6" w:space="1" w:color="000000"/>
      </w:pBdr>
      <w:spacing w:lineRule="auto" w:line="240" w:before="0" w:after="0"/>
      <w:ind w:hanging="0"/>
      <w:jc w:val="center"/>
    </w:pPr>
    <w:rPr>
      <w:rFonts w:ascii="Arial" w:hAnsi="Arial" w:eastAsia="Times New Roman"/>
      <w:vanish/>
      <w:sz w:val="16"/>
      <w:szCs w:val="16"/>
      <w:lang w:eastAsia="ru-RU"/>
    </w:rPr>
  </w:style>
  <w:style w:type="paragraph" w:styleId="HTMLAddress">
    <w:name w:val="HTML Address"/>
    <w:basedOn w:val="Normal"/>
    <w:link w:val="HTML1"/>
    <w:uiPriority w:val="99"/>
    <w:unhideWhenUsed/>
    <w:qFormat/>
    <w:rsid w:val="005b1069"/>
    <w:pPr>
      <w:spacing w:lineRule="auto" w:line="240" w:before="0" w:after="0"/>
      <w:ind w:hanging="0"/>
      <w:jc w:val="left"/>
    </w:pPr>
    <w:rPr>
      <w:rFonts w:eastAsia="Times New Roman"/>
      <w:i/>
      <w:iCs/>
      <w:szCs w:val="24"/>
      <w:lang w:eastAsia="ru-RU"/>
    </w:rPr>
  </w:style>
  <w:style w:type="paragraph" w:styleId="Ssylvtab1" w:customStyle="1">
    <w:name w:val="ssylvtab1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Small" w:customStyle="1">
    <w:name w:val="small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Xl30" w:customStyle="1">
    <w:name w:val="xl30"/>
    <w:basedOn w:val="Normal"/>
    <w:uiPriority w:val="99"/>
    <w:qFormat/>
    <w:rsid w:val="005b1069"/>
    <w:pPr>
      <w:pBdr>
        <w:bottom w:val="single" w:sz="4" w:space="0" w:color="000000"/>
      </w:pBdr>
      <w:spacing w:lineRule="auto" w:line="240" w:beforeAutospacing="1" w:afterAutospacing="1"/>
      <w:ind w:hanging="0"/>
      <w:jc w:val="center"/>
    </w:pPr>
    <w:rPr>
      <w:rFonts w:eastAsia="Times New Roman"/>
      <w:szCs w:val="24"/>
      <w:lang w:eastAsia="ru-RU"/>
    </w:rPr>
  </w:style>
  <w:style w:type="paragraph" w:styleId="Style52" w:customStyle="1">
    <w:name w:val="Знак Знак Знак Знак Знак Знак Знак Знак Знак Знак"/>
    <w:basedOn w:val="Normal"/>
    <w:uiPriority w:val="99"/>
    <w:qFormat/>
    <w:rsid w:val="005b1069"/>
    <w:pPr>
      <w:spacing w:lineRule="auto" w:line="240" w:before="0" w:after="0"/>
      <w:ind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124" w:customStyle="1">
    <w:name w:val="стиль12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37" w:customStyle="1">
    <w:name w:val="стиль3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Collapserefsp" w:customStyle="1">
    <w:name w:val="collapse-refs-p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Title1" w:customStyle="1">
    <w:name w:val="title1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Linkmore" w:customStyle="1">
    <w:name w:val="link_more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112" w:customStyle="1">
    <w:name w:val="Дата1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Note" w:customStyle="1">
    <w:name w:val="note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63" w:customStyle="1">
    <w:name w:val="стиль6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28" w:customStyle="1">
    <w:name w:val="стиль2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73" w:customStyle="1">
    <w:name w:val="стиль7"/>
    <w:basedOn w:val="Normal"/>
    <w:uiPriority w:val="99"/>
    <w:qFormat/>
    <w:rsid w:val="005b1069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Default" w:customStyle="1">
    <w:name w:val="Default"/>
    <w:uiPriority w:val="99"/>
    <w:qFormat/>
    <w:rsid w:val="009544b6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Style210" w:customStyle="1">
    <w:name w:val="Style2"/>
    <w:basedOn w:val="Normal"/>
    <w:uiPriority w:val="99"/>
    <w:qFormat/>
    <w:rsid w:val="00a62fda"/>
    <w:pPr>
      <w:widowControl w:val="false"/>
      <w:spacing w:lineRule="exact" w:line="235" w:before="0" w:after="0"/>
      <w:ind w:hanging="0"/>
      <w:jc w:val="right"/>
    </w:pPr>
    <w:rPr>
      <w:rFonts w:ascii="MS Reference Sans Serif" w:hAnsi="MS Reference Sans Serif" w:eastAsia="Times New Roman"/>
      <w:szCs w:val="24"/>
      <w:lang w:eastAsia="ru-RU"/>
    </w:rPr>
  </w:style>
  <w:style w:type="paragraph" w:styleId="Style310" w:customStyle="1">
    <w:name w:val="Style3"/>
    <w:basedOn w:val="Normal"/>
    <w:uiPriority w:val="99"/>
    <w:qFormat/>
    <w:rsid w:val="00a62fda"/>
    <w:pPr>
      <w:widowControl w:val="false"/>
      <w:spacing w:lineRule="auto" w:line="240" w:before="0" w:after="0"/>
      <w:ind w:hanging="0"/>
      <w:jc w:val="left"/>
    </w:pPr>
    <w:rPr>
      <w:rFonts w:ascii="MS Reference Sans Serif" w:hAnsi="MS Reference Sans Serif" w:eastAsia="Times New Roman"/>
      <w:szCs w:val="24"/>
      <w:lang w:eastAsia="ru-RU"/>
    </w:rPr>
  </w:style>
  <w:style w:type="paragraph" w:styleId="Style410" w:customStyle="1">
    <w:name w:val="Style4"/>
    <w:basedOn w:val="Normal"/>
    <w:uiPriority w:val="99"/>
    <w:qFormat/>
    <w:rsid w:val="00a62fda"/>
    <w:pPr>
      <w:widowControl w:val="false"/>
      <w:spacing w:lineRule="auto" w:line="240" w:before="0" w:after="0"/>
      <w:ind w:hanging="0"/>
      <w:jc w:val="left"/>
    </w:pPr>
    <w:rPr>
      <w:rFonts w:ascii="MS Reference Sans Serif" w:hAnsi="MS Reference Sans Serif" w:eastAsia="Times New Roman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a62fda"/>
    <w:pPr>
      <w:widowControl w:val="false"/>
      <w:spacing w:lineRule="exact" w:line="216" w:before="0" w:after="0"/>
      <w:ind w:hanging="0"/>
      <w:jc w:val="left"/>
    </w:pPr>
    <w:rPr>
      <w:rFonts w:ascii="MS Reference Sans Serif" w:hAnsi="MS Reference Sans Serif" w:eastAsia="Times New Roman"/>
      <w:szCs w:val="24"/>
      <w:lang w:eastAsia="ru-RU"/>
    </w:rPr>
  </w:style>
  <w:style w:type="paragraph" w:styleId="Style91" w:customStyle="1">
    <w:name w:val="Style9"/>
    <w:basedOn w:val="Normal"/>
    <w:uiPriority w:val="99"/>
    <w:qFormat/>
    <w:rsid w:val="00a62fda"/>
    <w:pPr>
      <w:widowControl w:val="false"/>
      <w:spacing w:lineRule="auto" w:line="240" w:before="0" w:after="0"/>
      <w:ind w:hanging="0"/>
      <w:jc w:val="left"/>
    </w:pPr>
    <w:rPr>
      <w:rFonts w:ascii="MS Reference Sans Serif" w:hAnsi="MS Reference Sans Serif" w:eastAsia="Times New Roman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a62fda"/>
    <w:pPr>
      <w:widowControl w:val="false"/>
      <w:spacing w:lineRule="exact" w:line="216" w:before="0" w:after="0"/>
      <w:ind w:firstLine="250"/>
      <w:jc w:val="left"/>
    </w:pPr>
    <w:rPr>
      <w:rFonts w:ascii="MS Reference Sans Serif" w:hAnsi="MS Reference Sans Serif" w:eastAsia="Times New Roman"/>
      <w:szCs w:val="24"/>
      <w:lang w:eastAsia="ru-RU"/>
    </w:rPr>
  </w:style>
  <w:style w:type="paragraph" w:styleId="Style111" w:customStyle="1">
    <w:name w:val="Style11"/>
    <w:basedOn w:val="Normal"/>
    <w:uiPriority w:val="99"/>
    <w:qFormat/>
    <w:rsid w:val="00a62fda"/>
    <w:pPr>
      <w:widowControl w:val="false"/>
      <w:spacing w:lineRule="exact" w:line="326" w:before="0" w:after="0"/>
      <w:ind w:hanging="0"/>
      <w:jc w:val="right"/>
    </w:pPr>
    <w:rPr>
      <w:rFonts w:ascii="MS Reference Sans Serif" w:hAnsi="MS Reference Sans Serif" w:eastAsia="Times New Roman"/>
      <w:szCs w:val="24"/>
      <w:lang w:eastAsia="ru-RU"/>
    </w:rPr>
  </w:style>
  <w:style w:type="paragraph" w:styleId="Style121" w:customStyle="1">
    <w:name w:val="Style12"/>
    <w:basedOn w:val="Normal"/>
    <w:uiPriority w:val="99"/>
    <w:qFormat/>
    <w:rsid w:val="00a62fda"/>
    <w:pPr>
      <w:widowControl w:val="false"/>
      <w:spacing w:lineRule="exact" w:line="264" w:before="0" w:after="0"/>
      <w:ind w:hanging="0"/>
      <w:jc w:val="right"/>
    </w:pPr>
    <w:rPr>
      <w:rFonts w:ascii="MS Reference Sans Serif" w:hAnsi="MS Reference Sans Serif" w:eastAsia="Times New Roman"/>
      <w:szCs w:val="24"/>
      <w:lang w:eastAsia="ru-RU"/>
    </w:rPr>
  </w:style>
  <w:style w:type="paragraph" w:styleId="Style131" w:customStyle="1">
    <w:name w:val="Style13"/>
    <w:basedOn w:val="Normal"/>
    <w:uiPriority w:val="99"/>
    <w:qFormat/>
    <w:rsid w:val="00a62fda"/>
    <w:pPr>
      <w:widowControl w:val="false"/>
      <w:spacing w:lineRule="exact" w:line="247" w:before="0" w:after="0"/>
      <w:ind w:hanging="0"/>
      <w:jc w:val="left"/>
    </w:pPr>
    <w:rPr>
      <w:rFonts w:ascii="MS Reference Sans Serif" w:hAnsi="MS Reference Sans Serif" w:eastAsia="Times New Roman"/>
      <w:szCs w:val="24"/>
      <w:lang w:eastAsia="ru-RU"/>
    </w:rPr>
  </w:style>
  <w:style w:type="paragraph" w:styleId="Style161" w:customStyle="1">
    <w:name w:val="Style16"/>
    <w:basedOn w:val="Normal"/>
    <w:uiPriority w:val="99"/>
    <w:qFormat/>
    <w:rsid w:val="00a62fda"/>
    <w:pPr>
      <w:widowControl w:val="false"/>
      <w:spacing w:lineRule="exact" w:line="1478" w:before="0" w:after="0"/>
      <w:ind w:hanging="0"/>
      <w:jc w:val="center"/>
    </w:pPr>
    <w:rPr>
      <w:rFonts w:ascii="MS Reference Sans Serif" w:hAnsi="MS Reference Sans Serif" w:eastAsia="Times New Roman"/>
      <w:szCs w:val="24"/>
      <w:lang w:eastAsia="ru-RU"/>
    </w:rPr>
  </w:style>
  <w:style w:type="paragraph" w:styleId="Style191" w:customStyle="1">
    <w:name w:val="Style19"/>
    <w:basedOn w:val="Normal"/>
    <w:uiPriority w:val="99"/>
    <w:qFormat/>
    <w:rsid w:val="00a62fda"/>
    <w:pPr>
      <w:widowControl w:val="false"/>
      <w:spacing w:lineRule="auto" w:line="240" w:before="0" w:after="0"/>
      <w:ind w:hanging="0"/>
      <w:jc w:val="left"/>
    </w:pPr>
    <w:rPr>
      <w:rFonts w:ascii="MS Reference Sans Serif" w:hAnsi="MS Reference Sans Serif" w:eastAsia="Times New Roman"/>
      <w:szCs w:val="24"/>
      <w:lang w:eastAsia="ru-RU"/>
    </w:rPr>
  </w:style>
  <w:style w:type="paragraph" w:styleId="Style110" w:customStyle="1">
    <w:name w:val="Style1"/>
    <w:basedOn w:val="Normal"/>
    <w:uiPriority w:val="99"/>
    <w:qFormat/>
    <w:rsid w:val="00a62fda"/>
    <w:pPr>
      <w:widowControl w:val="false"/>
      <w:spacing w:lineRule="auto" w:line="240" w:before="0" w:after="0"/>
      <w:ind w:hanging="0"/>
      <w:jc w:val="left"/>
    </w:pPr>
    <w:rPr>
      <w:rFonts w:ascii="MS Reference Sans Serif" w:hAnsi="MS Reference Sans Serif" w:eastAsia="Times New Roman"/>
      <w:szCs w:val="24"/>
      <w:lang w:eastAsia="ru-RU"/>
    </w:rPr>
  </w:style>
  <w:style w:type="paragraph" w:styleId="Style53" w:customStyle="1">
    <w:name w:val="Названия таблиц"/>
    <w:basedOn w:val="Normal"/>
    <w:next w:val="Normal"/>
    <w:uiPriority w:val="99"/>
    <w:qFormat/>
    <w:rsid w:val="002d1651"/>
    <w:pPr>
      <w:spacing w:lineRule="auto" w:line="240" w:before="0" w:after="0"/>
      <w:ind w:hanging="0"/>
      <w:jc w:val="right"/>
    </w:pPr>
    <w:rPr>
      <w:rFonts w:eastAsia="Times New Roman"/>
      <w:szCs w:val="20"/>
      <w:lang w:eastAsia="ru-RU"/>
    </w:rPr>
  </w:style>
  <w:style w:type="paragraph" w:styleId="ConsPlusNormal" w:customStyle="1">
    <w:name w:val="ConsPlusNormal"/>
    <w:uiPriority w:val="99"/>
    <w:qFormat/>
    <w:rsid w:val="00816268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13" w:customStyle="1">
    <w:name w:val="Абзац списка1"/>
    <w:basedOn w:val="Normal"/>
    <w:uiPriority w:val="99"/>
    <w:qFormat/>
    <w:rsid w:val="00344a64"/>
    <w:pPr>
      <w:spacing w:before="0" w:after="200"/>
      <w:ind w:left="720" w:hanging="0"/>
      <w:contextualSpacing/>
      <w:jc w:val="left"/>
    </w:pPr>
    <w:rPr>
      <w:rFonts w:eastAsia="Times New Roman"/>
      <w:sz w:val="22"/>
    </w:rPr>
  </w:style>
  <w:style w:type="paragraph" w:styleId="3111" w:customStyle="1">
    <w:name w:val="Основной текст с отступом 311"/>
    <w:basedOn w:val="Normal"/>
    <w:uiPriority w:val="99"/>
    <w:qFormat/>
    <w:rsid w:val="00344a64"/>
    <w:pPr>
      <w:suppressAutoHyphens w:val="true"/>
      <w:spacing w:lineRule="auto" w:line="240" w:before="0" w:after="120"/>
      <w:ind w:left="283" w:hanging="0"/>
      <w:jc w:val="left"/>
    </w:pPr>
    <w:rPr>
      <w:rFonts w:eastAsia="Times New Roman"/>
      <w:sz w:val="16"/>
      <w:szCs w:val="16"/>
      <w:lang w:eastAsia="ar-SA"/>
    </w:rPr>
  </w:style>
  <w:style w:type="paragraph" w:styleId="Normal11" w:customStyle="1">
    <w:name w:val="Normal1"/>
    <w:uiPriority w:val="99"/>
    <w:qFormat/>
    <w:rsid w:val="00344a6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ru-RU" w:eastAsia="ru-RU" w:bidi="ar-SA"/>
    </w:rPr>
  </w:style>
  <w:style w:type="paragraph" w:styleId="BodyTextIndent31" w:customStyle="1">
    <w:name w:val="Body Text Indent 31"/>
    <w:basedOn w:val="Normal"/>
    <w:uiPriority w:val="99"/>
    <w:qFormat/>
    <w:rsid w:val="00344a64"/>
    <w:pPr>
      <w:tabs>
        <w:tab w:val="clear" w:pos="709"/>
        <w:tab w:val="left" w:pos="8789" w:leader="none"/>
      </w:tabs>
      <w:overflowPunct w:val="true"/>
      <w:spacing w:lineRule="auto" w:line="240" w:before="0" w:after="0"/>
      <w:ind w:firstLine="737"/>
      <w:textAlignment w:val="baseline"/>
    </w:pPr>
    <w:rPr>
      <w:rFonts w:eastAsia="Times New Roman"/>
      <w:sz w:val="28"/>
      <w:szCs w:val="20"/>
      <w:lang w:eastAsia="ru-RU"/>
    </w:rPr>
  </w:style>
  <w:style w:type="paragraph" w:styleId="114" w:customStyle="1">
    <w:name w:val="Название объекта1"/>
    <w:basedOn w:val="Normal"/>
    <w:uiPriority w:val="99"/>
    <w:qFormat/>
    <w:rsid w:val="0009184a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115" w:customStyle="1">
    <w:name w:val="Стиль 1"/>
    <w:basedOn w:val="Normal"/>
    <w:uiPriority w:val="99"/>
    <w:qFormat/>
    <w:rsid w:val="004434f9"/>
    <w:pPr>
      <w:overflowPunct w:val="true"/>
      <w:spacing w:lineRule="auto" w:line="240" w:before="60" w:after="60"/>
      <w:ind w:firstLine="709"/>
      <w:textAlignment w:val="baseline"/>
    </w:pPr>
    <w:rPr>
      <w:rFonts w:eastAsia="Times New Roman"/>
      <w:szCs w:val="26"/>
      <w:lang w:eastAsia="ru-RU"/>
    </w:rPr>
  </w:style>
  <w:style w:type="paragraph" w:styleId="Style54" w:customStyle="1">
    <w:name w:val="список_тире"/>
    <w:basedOn w:val="Normal"/>
    <w:uiPriority w:val="99"/>
    <w:qFormat/>
    <w:rsid w:val="00007cf3"/>
    <w:pPr>
      <w:numPr>
        <w:ilvl w:val="0"/>
        <w:numId w:val="7"/>
      </w:numPr>
      <w:spacing w:lineRule="auto" w:line="240" w:before="0" w:after="0"/>
    </w:pPr>
    <w:rPr>
      <w:rFonts w:eastAsia="Times New Roman"/>
      <w:sz w:val="26"/>
      <w:szCs w:val="26"/>
    </w:rPr>
  </w:style>
  <w:style w:type="paragraph" w:styleId="Consnormal1" w:customStyle="1">
    <w:name w:val="consnormal"/>
    <w:basedOn w:val="Normal"/>
    <w:qFormat/>
    <w:rsid w:val="00b64ba5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ConsPlusCell" w:customStyle="1">
    <w:name w:val="ConsPlusCell"/>
    <w:qFormat/>
    <w:rsid w:val="007b1bdd"/>
    <w:pPr>
      <w:widowControl w:val="false"/>
      <w:suppressAutoHyphens w:val="true"/>
      <w:bidi w:val="0"/>
      <w:spacing w:before="0" w:after="0"/>
      <w:jc w:val="left"/>
    </w:pPr>
    <w:rPr>
      <w:rFonts w:eastAsia="Arial" w:cs="Calibri" w:ascii="Calibri" w:hAnsi="Calibri"/>
      <w:color w:val="auto"/>
      <w:kern w:val="0"/>
      <w:sz w:val="22"/>
      <w:szCs w:val="22"/>
      <w:lang w:eastAsia="ar-SA" w:val="ru-RU" w:bidi="ar-SA"/>
    </w:rPr>
  </w:style>
  <w:style w:type="paragraph" w:styleId="Style55" w:customStyle="1">
    <w:name w:val="ООО  «Институт Территориального Планирования"/>
    <w:basedOn w:val="Normal"/>
    <w:link w:val="Style26"/>
    <w:qFormat/>
    <w:rsid w:val="000034ef"/>
    <w:pPr>
      <w:spacing w:lineRule="auto" w:line="360" w:before="0" w:after="0"/>
      <w:ind w:left="709" w:hanging="0"/>
      <w:jc w:val="right"/>
    </w:pPr>
    <w:rPr>
      <w:rFonts w:eastAsia="Times New Roman"/>
      <w:szCs w:val="24"/>
    </w:rPr>
  </w:style>
  <w:style w:type="paragraph" w:styleId="Style56" w:customStyle="1">
    <w:name w:val="+Таб"/>
    <w:basedOn w:val="Normal"/>
    <w:link w:val="Style28"/>
    <w:qFormat/>
    <w:rsid w:val="00225c0e"/>
    <w:pPr>
      <w:spacing w:lineRule="auto" w:line="240" w:before="0" w:after="0"/>
      <w:ind w:hanging="0"/>
      <w:jc w:val="center"/>
    </w:pPr>
    <w:rPr>
      <w:sz w:val="20"/>
      <w:szCs w:val="20"/>
    </w:rPr>
  </w:style>
  <w:style w:type="paragraph" w:styleId="Consplusnormal1" w:customStyle="1">
    <w:name w:val="consplusnormal"/>
    <w:basedOn w:val="Normal"/>
    <w:uiPriority w:val="99"/>
    <w:qFormat/>
    <w:rsid w:val="000c6af4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Style58" w:customStyle="1">
    <w:name w:val="+"/>
    <w:basedOn w:val="ListParagraph"/>
    <w:link w:val="Style29"/>
    <w:qFormat/>
    <w:rsid w:val="00f7467c"/>
    <w:pPr>
      <w:spacing w:before="0" w:after="0"/>
      <w:ind w:left="57" w:hanging="57"/>
      <w:contextualSpacing w:val="false"/>
      <w:jc w:val="both"/>
    </w:pPr>
    <w:rPr>
      <w:sz w:val="22"/>
      <w:szCs w:val="22"/>
      <w:lang w:eastAsia="en-US"/>
    </w:rPr>
  </w:style>
  <w:style w:type="paragraph" w:styleId="Style60" w:customStyle="1">
    <w:name w:val="+таб"/>
    <w:basedOn w:val="Normal"/>
    <w:link w:val="Style30"/>
    <w:qFormat/>
    <w:rsid w:val="00073dce"/>
    <w:pPr>
      <w:spacing w:lineRule="auto" w:line="240" w:before="0" w:after="120"/>
      <w:ind w:hanging="0"/>
      <w:jc w:val="center"/>
    </w:pPr>
    <w:rPr>
      <w:rFonts w:eastAsia="Times New Roman"/>
      <w:sz w:val="20"/>
      <w:szCs w:val="20"/>
      <w:lang w:eastAsia="ru-RU"/>
    </w:rPr>
  </w:style>
  <w:style w:type="paragraph" w:styleId="Style62" w:customStyle="1">
    <w:name w:val="для текста"/>
    <w:basedOn w:val="Style35"/>
    <w:qFormat/>
    <w:rsid w:val="00ac3b16"/>
    <w:pPr>
      <w:spacing w:lineRule="auto" w:line="360"/>
      <w:ind w:firstLine="567"/>
    </w:pPr>
    <w:rPr>
      <w:rFonts w:ascii="Arial" w:hAnsi="Arial" w:cs="Arial"/>
      <w:sz w:val="22"/>
      <w:szCs w:val="22"/>
      <w:lang w:val="x-none" w:eastAsia="x-none"/>
    </w:rPr>
  </w:style>
  <w:style w:type="paragraph" w:styleId="Formattext" w:customStyle="1">
    <w:name w:val="formattext"/>
    <w:basedOn w:val="Normal"/>
    <w:qFormat/>
    <w:rsid w:val="004841b7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Style63" w:customStyle="1">
    <w:name w:val="Стандарт"/>
    <w:basedOn w:val="Style35"/>
    <w:link w:val="35"/>
    <w:qFormat/>
    <w:rsid w:val="00c40d88"/>
    <w:pPr>
      <w:widowControl w:val="false"/>
      <w:spacing w:lineRule="auto" w:line="264"/>
      <w:ind w:firstLine="720"/>
    </w:pPr>
    <w:rPr>
      <w:sz w:val="28"/>
      <w:szCs w:val="20"/>
    </w:rPr>
  </w:style>
  <w:style w:type="paragraph" w:styleId="125" w:customStyle="1">
    <w:name w:val="12без отступа"/>
    <w:basedOn w:val="Normal"/>
    <w:link w:val="121"/>
    <w:qFormat/>
    <w:rsid w:val="00633069"/>
    <w:pPr>
      <w:spacing w:lineRule="auto" w:line="240" w:before="0" w:after="0"/>
      <w:ind w:hanging="0"/>
      <w:jc w:val="left"/>
    </w:pPr>
    <w:rPr>
      <w:rFonts w:eastAsia="Times New Roman"/>
      <w:szCs w:val="24"/>
    </w:rPr>
  </w:style>
  <w:style w:type="paragraph" w:styleId="126" w:customStyle="1">
    <w:name w:val="12таблица"/>
    <w:basedOn w:val="Normal"/>
    <w:link w:val="122"/>
    <w:qFormat/>
    <w:rsid w:val="00633069"/>
    <w:pPr>
      <w:spacing w:lineRule="auto" w:line="240" w:before="0" w:after="0"/>
      <w:ind w:hanging="0"/>
      <w:jc w:val="left"/>
    </w:pPr>
    <w:rPr>
      <w:rFonts w:eastAsia="Times New Roman"/>
      <w:szCs w:val="24"/>
    </w:rPr>
  </w:style>
  <w:style w:type="paragraph" w:styleId="29" w:customStyle="1">
    <w:name w:val="Без интервала2"/>
    <w:qFormat/>
    <w:rsid w:val="00633069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ConsPlusNonformat" w:customStyle="1">
    <w:name w:val="ConsPlusNonformat"/>
    <w:qFormat/>
    <w:rsid w:val="00633069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RMATTEXT1" w:customStyle="1">
    <w:name w:val=".FORMATTEXT"/>
    <w:uiPriority w:val="99"/>
    <w:qFormat/>
    <w:rsid w:val="00d43dfc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headertext"/>
    <w:basedOn w:val="Normal"/>
    <w:qFormat/>
    <w:rsid w:val="00642590"/>
    <w:pPr>
      <w:spacing w:lineRule="auto" w:line="240" w:beforeAutospacing="1" w:afterAutospacing="1"/>
      <w:ind w:hanging="0"/>
      <w:jc w:val="left"/>
    </w:pPr>
    <w:rPr>
      <w:rFonts w:eastAsia="Times New Roman"/>
      <w:szCs w:val="24"/>
      <w:lang w:eastAsia="ru-RU"/>
    </w:rPr>
  </w:style>
  <w:style w:type="paragraph" w:styleId="116" w:customStyle="1">
    <w:name w:val="11!для таблиц"/>
    <w:basedOn w:val="Normal"/>
    <w:qFormat/>
    <w:rsid w:val="00013d1f"/>
    <w:pPr>
      <w:spacing w:lineRule="auto" w:line="240" w:before="0" w:after="0"/>
      <w:ind w:hanging="0"/>
      <w:jc w:val="center"/>
    </w:pPr>
    <w:rPr>
      <w:rFonts w:cs="Arial"/>
      <w:sz w:val="20"/>
    </w:rPr>
  </w:style>
  <w:style w:type="paragraph" w:styleId="Style64" w:customStyle="1">
    <w:name w:val="!!_Текст"/>
    <w:basedOn w:val="Normal"/>
    <w:link w:val="Style32"/>
    <w:qFormat/>
    <w:rsid w:val="00013d1f"/>
    <w:pPr>
      <w:spacing w:lineRule="auto" w:line="360" w:before="0" w:after="0"/>
      <w:ind w:firstLine="709"/>
    </w:pPr>
    <w:rPr>
      <w:rFonts w:eastAsia="Arial"/>
      <w:sz w:val="22"/>
      <w:lang w:val="x-none" w:eastAsia="ru-RU" w:bidi="ru-RU"/>
    </w:rPr>
  </w:style>
  <w:style w:type="paragraph" w:styleId="Style6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rsid w:val="007b2af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af7">
    <w:name w:val="Таблицы"/>
    <w:basedOn w:val="ae"/>
    <w:uiPriority w:val="99"/>
    <w:rsid w:val="00fd2c53"/>
    <w:pPr>
      <w:jc w:val="center"/>
    </w:pPr>
    <w:rPr>
      <w:sz w:val="24"/>
    </w:rPr>
    <w:tcPr>
      <w:vAlign w:val="center"/>
    </w:tcPr>
  </w:style>
  <w:style w:type="table" w:customStyle="1" w:styleId="63">
    <w:name w:val="Сетка таблицы6"/>
    <w:basedOn w:val="a2"/>
    <w:uiPriority w:val="59"/>
    <w:rsid w:val="00886a77"/>
    <w:pPr>
      <w:spacing w:before="200"/>
      <w:jc w:val="both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header" Target="header4.xml"/><Relationship Id="rId9" Type="http://schemas.openxmlformats.org/officeDocument/2006/relationships/footer" Target="footer3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header" Target="header6.xml"/><Relationship Id="rId13" Type="http://schemas.openxmlformats.org/officeDocument/2006/relationships/footer" Target="footer5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header" Target="header8.xml"/><Relationship Id="rId17" Type="http://schemas.openxmlformats.org/officeDocument/2006/relationships/footer" Target="footer7.xml"/><Relationship Id="rId18" Type="http://schemas.openxmlformats.org/officeDocument/2006/relationships/header" Target="header9.xml"/><Relationship Id="rId19" Type="http://schemas.openxmlformats.org/officeDocument/2006/relationships/footer" Target="footer8.xml"/><Relationship Id="rId20" Type="http://schemas.openxmlformats.org/officeDocument/2006/relationships/header" Target="header10.xml"/><Relationship Id="rId21" Type="http://schemas.openxmlformats.org/officeDocument/2006/relationships/footer" Target="footer9.xml"/><Relationship Id="rId22" Type="http://schemas.openxmlformats.org/officeDocument/2006/relationships/header" Target="header11.xml"/><Relationship Id="rId23" Type="http://schemas.openxmlformats.org/officeDocument/2006/relationships/footer" Target="footer10.xml"/><Relationship Id="rId24" Type="http://schemas.openxmlformats.org/officeDocument/2006/relationships/header" Target="header12.xml"/><Relationship Id="rId25" Type="http://schemas.openxmlformats.org/officeDocument/2006/relationships/footer" Target="footer1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60"/>
      <c:rAngAx val="0"/>
      <c:perspective val="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099375"/>
          <c:y val="0"/>
          <c:w val="0.82875"/>
          <c:h val="0.952777777777778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0"/>
          <c:dPt>
            <c:idx val="0"/>
            <c:explosion val="18"/>
            <c:spPr>
              <a:solidFill>
                <a:srgbClr val="4f81bd"/>
              </a:solidFill>
              <a:ln w="0">
                <a:solidFill>
                  <a:srgbClr val="4f81bd"/>
                </a:solidFill>
              </a:ln>
            </c:spPr>
          </c:dPt>
          <c:dPt>
            <c:idx val="1"/>
            <c:explosion val="20"/>
            <c:spPr>
              <a:solidFill>
                <a:srgbClr val="c0504d"/>
              </a:solidFill>
              <a:ln w="0">
                <a:solidFill>
                  <a:srgbClr val="c0504d"/>
                </a:solidFill>
              </a:ln>
            </c:spPr>
          </c:dPt>
          <c:dPt>
            <c:idx val="2"/>
            <c:explosion val="20"/>
            <c:spPr>
              <a:solidFill>
                <a:srgbClr val="9bbb59"/>
              </a:solidFill>
              <a:ln w="0">
                <a:solidFill>
                  <a:srgbClr val="9bbb59"/>
                </a:solidFill>
              </a:ln>
            </c:spPr>
          </c:dPt>
          <c:dLbls>
            <c:dLbl>
              <c:idx val="0"/>
              <c:txPr>
                <a:bodyPr wrap="square"/>
                <a:lstStyle/>
                <a:p>
                  <a:pPr>
                    <a:defRPr b="0" sz="11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1"/>
              <c:txPr>
                <a:bodyPr wrap="square"/>
                <a:lstStyle/>
                <a:p>
                  <a:pPr>
                    <a:defRPr b="0" sz="11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2"/>
              <c:txPr>
                <a:bodyPr wrap="square"/>
                <a:lstStyle/>
                <a:p>
                  <a:pPr>
                    <a:defRPr b="0" sz="11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eparator>
</c:separator>
            </c:dLbl>
            <c:txPr>
              <a:bodyPr wrap="square"/>
              <a:lstStyle/>
              <a:p>
                <a:pPr>
                  <a:defRPr b="0" sz="1100" spc="-1" strike="noStrike">
                    <a:solidFill>
                      <a:srgbClr val="000000"/>
                    </a:solidFill>
                    <a:latin typeface="Times New Roman"/>
                    <a:ea typeface="Times New Roman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eparator>
</c:separator>
            <c:showLeaderLines val="1"/>
          </c:dLbls>
          <c:cat>
            <c:strRef>
              <c:f>categories</c:f>
              <c:strCache>
                <c:ptCount val="3"/>
                <c:pt idx="0">
                  <c:v>Население</c:v>
                </c:pt>
                <c:pt idx="1">
                  <c:v>Бюджетные организации</c:v>
                </c:pt>
                <c:pt idx="2">
                  <c:v>Прочие потребители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198.31</c:v>
                </c:pt>
                <c:pt idx="2">
                  <c:v>32.34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0675625"/>
          <c:y val="0.878333333333333"/>
          <c:w val="0.868116757297331"/>
          <c:h val="0.0951216801866874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0" sz="1010" spc="-1" strike="noStrike">
              <a:solidFill>
                <a:srgbClr val="000000"/>
              </a:solidFill>
              <a:latin typeface="Times New Roman"/>
              <a:ea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939B-6FC9-4F70-B27D-0397C6F8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14520</TotalTime>
  <Application>LibreOffice/7.3.7.2$Linux_X86_64 LibreOffice_project/30$Build-2</Application>
  <AppVersion>15.0000</AppVersion>
  <Pages>90</Pages>
  <Words>19232</Words>
  <Characters>143539</Characters>
  <CharactersWithSpaces>160621</CharactersWithSpaces>
  <Paragraphs>2192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2014-01-24T08:00:00Z</dcterms:created>
  <dc:creator/>
  <dc:description/>
  <dc:language>ru-RU</dc:language>
  <cp:lastModifiedBy>Nesterova</cp:lastModifiedBy>
  <cp:lastPrinted>2020-07-22T10:35:00Z</cp:lastPrinted>
  <dcterms:modified xsi:type="dcterms:W3CDTF">2023-04-12T23:22:00Z</dcterms:modified>
  <cp:revision>1683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