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2.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embeddings/_____Microsoft_Excel7.xlsx" ContentType="application/vnd.openxmlformats-officedocument.spreadsheetml.sheet"/>
  <Override PartName="/word/embeddings/_____Microsoft_Excel19.xlsx" ContentType="application/vnd.openxmlformats-officedocument.spreadsheetml.sheet"/>
  <Override PartName="/word/embeddings/_____Microsoft_Excel6.xlsx" ContentType="application/vnd.openxmlformats-officedocument.spreadsheetml.sheet"/>
  <Override PartName="/word/embeddings/_____Microsoft_Excel1.xlsx" ContentType="application/vnd.openxmlformats-officedocument.spreadsheetml.sheet"/>
  <Override PartName="/word/embeddings/_____Microsoft_Excel14.xlsx" ContentType="application/vnd.openxmlformats-officedocument.spreadsheetml.sheet"/>
  <Override PartName="/word/embeddings/_____Microsoft_Excel20.xlsx" ContentType="application/vnd.openxmlformats-officedocument.spreadsheetml.sheet"/>
  <Override PartName="/word/embeddings/_____Microsoft_Excel11.xlsx" ContentType="application/vnd.openxmlformats-officedocument.spreadsheetml.sheet"/>
  <Override PartName="/word/embeddings/_____Microsoft_Excel10.xlsx" ContentType="application/vnd.openxmlformats-officedocument.spreadsheetml.sheet"/>
  <Override PartName="/word/embeddings/_____Microsoft_Excel21.xlsx" ContentType="application/vnd.openxmlformats-officedocument.spreadsheetml.sheet"/>
  <Override PartName="/word/embeddings/_____Microsoft_Excel2.xlsx" ContentType="application/vnd.openxmlformats-officedocument.spreadsheetml.sheet"/>
  <Override PartName="/word/embeddings/_____Microsoft_Excel15.xlsx" ContentType="application/vnd.openxmlformats-officedocument.spreadsheetml.sheet"/>
  <Override PartName="/word/embeddings/_____Microsoft_Excel9.xlsx" ContentType="application/vnd.openxmlformats-officedocument.spreadsheetml.sheet"/>
  <Override PartName="/word/embeddings/_____Microsoft_Excel12.xlsx" ContentType="application/vnd.openxmlformats-officedocument.spreadsheetml.sheet"/>
  <Override PartName="/word/embeddings/_____Microsoft_Excel17.xlsx" ContentType="application/vnd.openxmlformats-officedocument.spreadsheetml.sheet"/>
  <Override PartName="/word/embeddings/_____Microsoft_Excel4.xlsx" ContentType="application/vnd.openxmlformats-officedocument.spreadsheetml.sheet"/>
  <Override PartName="/word/embeddings/_____Microsoft_Excel13.xlsx" ContentType="application/vnd.openxmlformats-officedocument.spreadsheetml.sheet"/>
  <Override PartName="/word/embeddings/_____Microsoft_Excel5.xlsx" ContentType="application/vnd.openxmlformats-officedocument.spreadsheetml.sheet"/>
  <Override PartName="/word/embeddings/_____Microsoft_Excel18.xlsx" ContentType="application/vnd.openxmlformats-officedocument.spreadsheetml.sheet"/>
  <Override PartName="/word/embeddings/_____Microsoft_Excel8.xlsx" ContentType="application/vnd.openxmlformats-officedocument.spreadsheetml.sheet"/>
  <Override PartName="/word/embeddings/_____Microsoft_Excel3.xlsx" ContentType="application/vnd.openxmlformats-officedocument.spreadsheetml.sheet"/>
  <Override PartName="/word/embeddings/_____Microsoft_Excel16.xlsx" ContentType="application/vnd.openxmlformats-officedocument.spreadsheetml.sheet"/>
  <Override PartName="/word/header14.xml" ContentType="application/vnd.openxmlformats-officedocument.wordprocessingml.header+xml"/>
  <Override PartName="/word/media/image12.jpeg" ContentType="image/jpeg"/>
  <Override PartName="/word/media/image11.png" ContentType="image/png"/>
  <Override PartName="/word/media/image15.wmf" ContentType="image/x-wmf"/>
  <Override PartName="/word/media/image14.png" ContentType="image/png"/>
  <Override PartName="/word/media/image1.png" ContentType="image/png"/>
  <Override PartName="/word/media/image3.jpeg" ContentType="image/jpeg"/>
  <Override PartName="/word/media/image2.png" ContentType="image/png"/>
  <Override PartName="/word/media/image9.jpeg" ContentType="image/jpeg"/>
  <Override PartName="/word/media/image4.png" ContentType="image/png"/>
  <Override PartName="/word/media/image13.jpeg" ContentType="image/jpeg"/>
  <Override PartName="/word/media/image5.jpeg" ContentType="image/jpeg"/>
  <Override PartName="/word/media/image8.jpeg" ContentType="image/jpeg"/>
  <Override PartName="/word/media/image10.jpeg" ContentType="image/jpeg"/>
  <Override PartName="/word/media/image6.jpeg" ContentType="image/jpeg"/>
  <Override PartName="/word/media/image7.jpeg" ContentType="image/jpeg"/>
  <Override PartName="/word/header1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numbering.xml" ContentType="application/vnd.openxmlformats-officedocument.wordprocessingml.numbering+xml"/>
  <Override PartName="/word/footer13.xml" ContentType="application/vnd.openxmlformats-officedocument.wordprocessingml.footer+xml"/>
  <Override PartName="/word/footer7.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header6.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2.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_rels/chart2.xml.rels" ContentType="application/vnd.openxmlformats-package.relationships+xml"/>
  <Override PartName="/word/charts/_rels/chart1.xml.rels" ContentType="application/vnd.openxmlformats-package.relationships+xml"/>
  <Override PartName="/word/charts/_rels/chart14.xml.rels" ContentType="application/vnd.openxmlformats-package.relationships+xml"/>
  <Override PartName="/word/charts/_rels/chart15.xml.rels" ContentType="application/vnd.openxmlformats-package.relationships+xml"/>
  <Override PartName="/word/charts/_rels/chart16.xml.rels" ContentType="application/vnd.openxmlformats-package.relationships+xml"/>
  <Override PartName="/word/charts/_rels/chart17.xml.rels" ContentType="application/vnd.openxmlformats-package.relationships+xml"/>
  <Override PartName="/word/charts/_rels/chart18.xml.rels" ContentType="application/vnd.openxmlformats-package.relationships+xml"/>
  <Override PartName="/word/charts/_rels/chart3.xml.rels" ContentType="application/vnd.openxmlformats-package.relationships+xml"/>
  <Override PartName="/word/charts/_rels/chart12.xml.rels" ContentType="application/vnd.openxmlformats-package.relationships+xml"/>
  <Override PartName="/word/charts/_rels/chart8.xml.rels" ContentType="application/vnd.openxmlformats-package.relationships+xml"/>
  <Override PartName="/word/charts/_rels/chart5.xml.rels" ContentType="application/vnd.openxmlformats-package.relationships+xml"/>
  <Override PartName="/word/charts/_rels/chart10.xml.rels" ContentType="application/vnd.openxmlformats-package.relationships+xml"/>
  <Override PartName="/word/charts/_rels/chart9.xml.rels" ContentType="application/vnd.openxmlformats-package.relationships+xml"/>
  <Override PartName="/word/charts/_rels/chart13.xml.rels" ContentType="application/vnd.openxmlformats-package.relationships+xml"/>
  <Override PartName="/word/charts/_rels/chart7.xml.rels" ContentType="application/vnd.openxmlformats-package.relationships+xml"/>
  <Override PartName="/word/charts/_rels/chart21.xml.rels" ContentType="application/vnd.openxmlformats-package.relationships+xml"/>
  <Override PartName="/word/charts/_rels/chart4.xml.rels" ContentType="application/vnd.openxmlformats-package.relationships+xml"/>
  <Override PartName="/word/charts/_rels/chart11.xml.rels" ContentType="application/vnd.openxmlformats-package.relationships+xml"/>
  <Override PartName="/word/charts/_rels/chart6.xml.rels" ContentType="application/vnd.openxmlformats-package.relationships+xml"/>
  <Override PartName="/word/charts/_rels/chart19.xml.rels" ContentType="application/vnd.openxmlformats-package.relationships+xml"/>
  <Override PartName="/word/charts/_rels/chart20.xml.rels" ContentType="application/vnd.openxmlformats-package.relationships+xml"/>
  <Override PartName="/word/charts/chart5.xml" ContentType="application/vnd.openxmlformats-officedocument.drawingml.chart+xml"/>
  <Override PartName="/word/charts/chart21.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18.xml" ContentType="application/vnd.openxmlformats-officedocument.drawingml.chart+xml"/>
  <Override PartName="/word/charts/chart17.xml" ContentType="application/vnd.openxmlformats-officedocument.drawingml.chart+xml"/>
  <Override PartName="/word/charts/chart16.xml" ContentType="application/vnd.openxmlformats-officedocument.drawingml.chart+xml"/>
  <Override PartName="/word/charts/chart4.xml" ContentType="application/vnd.openxmlformats-officedocument.drawingml.chart+xml"/>
  <Override PartName="/word/charts/chart15.xml" ContentType="application/vnd.openxmlformats-officedocument.drawingml.chart+xml"/>
  <Override PartName="/word/charts/chart3.xml" ContentType="application/vnd.openxmlformats-officedocument.drawingml.chart+xml"/>
  <Override PartName="/word/charts/chart14.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13.xml" ContentType="application/vnd.openxmlformats-officedocument.drawingml.chart+xml"/>
  <Override PartName="/word/footer14.xml" ContentType="application/vnd.openxmlformats-officedocument.wordprocessingml.footer+xml"/>
  <Override PartName="/word/footer8.xml" ContentType="application/vnd.openxmlformats-officedocument.wordprocessingml.footer+xml"/>
  <Override PartName="/word/document.xml" ContentType="application/vnd.openxmlformats-officedocument.wordprocessingml.document.main+xml"/>
  <Override PartName="/word/footer11.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header7.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jc w:val="center"/>
        <w:rPr>
          <w:rFonts w:ascii="Times New Roman" w:hAnsi="Times New Roman" w:cs="Times New Roman"/>
          <w:b/>
          <w:b/>
          <w:sz w:val="28"/>
          <w:szCs w:val="28"/>
          <w:lang w:val="ru-RU"/>
        </w:rPr>
      </w:pPr>
      <w:bookmarkStart w:id="0" w:name="_Toc96823383"/>
      <w:bookmarkStart w:id="1" w:name="_Toc97106158"/>
      <w:bookmarkStart w:id="2" w:name="_Toc130628057"/>
      <w:bookmarkStart w:id="3" w:name="_Toc34212831"/>
      <w:bookmarkStart w:id="4" w:name="_Toc34558201"/>
      <w:bookmarkStart w:id="5" w:name="_Toc34559001"/>
      <w:bookmarkStart w:id="6" w:name="_Toc34559178"/>
      <w:bookmarkStart w:id="7" w:name="_Toc34560030"/>
      <w:bookmarkStart w:id="8" w:name="_Toc34560078"/>
      <w:bookmarkStart w:id="9" w:name="_Toc34560168"/>
      <w:bookmarkStart w:id="10" w:name="_Toc96823375"/>
      <w:r>
        <mc:AlternateContent>
          <mc:Choice Requires="wps">
            <w:drawing>
              <wp:anchor behindDoc="1" distT="0" distB="0" distL="114300" distR="114300" simplePos="0" locked="0" layoutInCell="0" allowOverlap="1" relativeHeight="2">
                <wp:simplePos x="0" y="0"/>
                <wp:positionH relativeFrom="column">
                  <wp:posOffset>-342900</wp:posOffset>
                </wp:positionH>
                <wp:positionV relativeFrom="paragraph">
                  <wp:posOffset>-226695</wp:posOffset>
                </wp:positionV>
                <wp:extent cx="6400800" cy="9561830"/>
                <wp:effectExtent l="14605" t="14605" r="14605" b="14605"/>
                <wp:wrapNone/>
                <wp:docPr id="1" name=""/>
                <a:graphic xmlns:a="http://schemas.openxmlformats.org/drawingml/2006/main">
                  <a:graphicData uri="http://schemas.microsoft.com/office/word/2010/wordprocessingShape">
                    <wps:wsp>
                      <wps:cNvSpPr/>
                      <wps:nvSpPr>
                        <wps:cNvPr id="0" name=""/>
                        <wps:cNvSpPr/>
                      </wps:nvSpPr>
                      <wps:spPr>
                        <a:xfrm>
                          <a:off x="0" y="0"/>
                          <a:ext cx="6400800" cy="9561960"/>
                        </a:xfrm>
                        <a:prstGeom prst="rect">
                          <a:avLst/>
                        </a:prstGeom>
                        <a:noFill/>
                        <a:ln w="28440">
                          <a:solidFill>
                            <a:srgbClr val="943634"/>
                          </a:solidFill>
                          <a:round/>
                        </a:ln>
                      </wps:spPr>
                      <wps:bodyPr/>
                    </wps:wsp>
                  </a:graphicData>
                </a:graphic>
              </wp:anchor>
            </w:drawing>
          </mc:Choice>
          <mc:Fallback>
            <w:pict>
              <v:rect id="shape_0" stroked="t" o:allowincell="f" style="position:absolute;margin-left:-27pt;margin-top:-17.85pt;width:503.95pt;height:752.85pt;mso-wrap-style:none;v-text-anchor:middle">
                <v:fill o:detectmouseclick="t" on="false"/>
                <v:stroke color="#943634" weight="28440" joinstyle="round" endcap="flat"/>
                <w10:wrap type="none"/>
              </v:rect>
            </w:pict>
          </mc:Fallback>
        </mc:AlternateContent>
      </w:r>
      <w:bookmarkEnd w:id="10"/>
      <w:r>
        <w:rPr>
          <w:rFonts w:cs="Times New Roman" w:ascii="Times New Roman" w:hAnsi="Times New Roman"/>
          <w:b/>
          <w:sz w:val="28"/>
          <w:szCs w:val="28"/>
          <w:lang w:val="ru-RU"/>
        </w:rPr>
        <w:t xml:space="preserve">Федеральная служба государственной регистрации, </w:t>
        <w:br/>
        <w:t>кадастра и картографии</w:t>
      </w:r>
    </w:p>
    <w:p>
      <w:pPr>
        <w:pStyle w:val="NormalWeb"/>
        <w:numPr>
          <w:ilvl w:val="0"/>
          <w:numId w:val="0"/>
        </w:numPr>
        <w:jc w:val="center"/>
        <w:outlineLvl w:val="0"/>
        <w:rPr>
          <w:rFonts w:ascii="Times New Roman" w:hAnsi="Times New Roman"/>
          <w:b/>
          <w:b/>
          <w:color w:val="000000"/>
          <w:sz w:val="28"/>
          <w:lang w:val="ru-RU"/>
        </w:rPr>
      </w:pPr>
      <w:r>
        <w:rPr>
          <w:rFonts w:ascii="Times New Roman" w:hAnsi="Times New Roman"/>
          <w:b/>
          <w:color w:val="000000"/>
          <w:sz w:val="28"/>
          <w:lang w:val="ru-RU"/>
        </w:rPr>
      </w:r>
    </w:p>
    <w:p>
      <w:pPr>
        <w:pStyle w:val="NormalWeb"/>
        <w:numPr>
          <w:ilvl w:val="0"/>
          <w:numId w:val="0"/>
        </w:numPr>
        <w:jc w:val="center"/>
        <w:outlineLvl w:val="0"/>
        <w:rPr>
          <w:rFonts w:ascii="Times New Roman" w:hAnsi="Times New Roman"/>
          <w:b/>
          <w:b/>
          <w:color w:val="000000"/>
          <w:sz w:val="28"/>
          <w:lang w:val="ru-RU"/>
        </w:rPr>
      </w:pPr>
      <w:bookmarkStart w:id="11" w:name="_Toc96823376"/>
      <w:r>
        <w:rPr>
          <w:rFonts w:ascii="Times New Roman" w:hAnsi="Times New Roman"/>
          <w:b/>
          <w:color w:val="000000"/>
          <w:sz w:val="28"/>
          <w:lang w:val="ru-RU"/>
        </w:rPr>
        <w:t xml:space="preserve">Управление Федеральной </w:t>
      </w:r>
      <w:bookmarkEnd w:id="11"/>
      <w:r>
        <w:rPr>
          <w:rFonts w:ascii="Times New Roman" w:hAnsi="Times New Roman"/>
          <w:b/>
          <w:color w:val="000000"/>
          <w:sz w:val="28"/>
          <w:lang w:val="ru-RU"/>
        </w:rPr>
        <w:t xml:space="preserve">службы государственной регистрации, </w:t>
        <w:br/>
        <w:t xml:space="preserve">кадастра и картографии </w:t>
      </w:r>
      <w:bookmarkStart w:id="12" w:name="_Toc96823377"/>
      <w:r>
        <w:rPr>
          <w:rFonts w:ascii="Times New Roman" w:hAnsi="Times New Roman"/>
          <w:b/>
          <w:color w:val="000000"/>
          <w:sz w:val="28"/>
          <w:lang w:val="ru-RU"/>
        </w:rPr>
        <w:t>по Приморскому краю</w:t>
      </w:r>
      <w:bookmarkEnd w:id="12"/>
    </w:p>
    <w:p>
      <w:pPr>
        <w:pStyle w:val="NormalWeb"/>
        <w:rPr>
          <w:rFonts w:ascii="Times New Roman" w:hAnsi="Times New Roman"/>
          <w:b/>
          <w:b/>
          <w:color w:val="000000"/>
          <w:sz w:val="28"/>
          <w:lang w:val="ru-RU"/>
        </w:rPr>
      </w:pPr>
      <w:r>
        <w:rPr>
          <w:rFonts w:ascii="Times New Roman" w:hAnsi="Times New Roman"/>
          <w:b/>
          <w:color w:val="000000"/>
          <w:sz w:val="28"/>
          <w:lang w:val="ru-RU"/>
        </w:rPr>
      </w:r>
    </w:p>
    <w:p>
      <w:pPr>
        <w:pStyle w:val="NormalWeb"/>
        <w:rPr>
          <w:rFonts w:ascii="Times New Roman" w:hAnsi="Times New Roman"/>
          <w:b/>
          <w:b/>
          <w:color w:val="000000"/>
          <w:sz w:val="28"/>
          <w:lang w:val="ru-RU"/>
        </w:rPr>
      </w:pPr>
      <w:r>
        <w:rPr>
          <w:rFonts w:ascii="Times New Roman" w:hAnsi="Times New Roman"/>
          <w:b/>
          <w:color w:val="000000"/>
          <w:sz w:val="28"/>
          <w:lang w:val="ru-RU"/>
        </w:rPr>
      </w:r>
    </w:p>
    <w:p>
      <w:pPr>
        <w:pStyle w:val="NormalWeb"/>
        <w:rPr>
          <w:rFonts w:ascii="Times New Roman" w:hAnsi="Times New Roman"/>
          <w:b/>
          <w:b/>
          <w:color w:val="000000"/>
          <w:sz w:val="28"/>
          <w:lang w:val="ru-RU"/>
        </w:rPr>
      </w:pPr>
      <w:r>
        <w:rPr>
          <w:rFonts w:ascii="Times New Roman" w:hAnsi="Times New Roman"/>
          <w:b/>
          <w:color w:val="000000"/>
          <w:sz w:val="28"/>
          <w:lang w:val="ru-RU"/>
        </w:rPr>
      </w:r>
    </w:p>
    <w:p>
      <w:pPr>
        <w:pStyle w:val="NormalWeb"/>
        <w:rPr>
          <w:rFonts w:ascii="Times New Roman" w:hAnsi="Times New Roman"/>
          <w:b/>
          <w:b/>
          <w:color w:val="000000"/>
          <w:sz w:val="28"/>
          <w:lang w:val="ru-RU"/>
        </w:rPr>
      </w:pPr>
      <w:r>
        <w:rPr>
          <w:rFonts w:ascii="Times New Roman" w:hAnsi="Times New Roman"/>
          <w:b/>
          <w:color w:val="000000"/>
          <w:sz w:val="28"/>
          <w:lang w:val="ru-RU"/>
        </w:rPr>
      </w:r>
    </w:p>
    <w:p>
      <w:pPr>
        <w:pStyle w:val="NormalWeb"/>
        <w:rPr>
          <w:rFonts w:ascii="Times New Roman" w:hAnsi="Times New Roman"/>
          <w:b/>
          <w:b/>
          <w:color w:val="000000"/>
          <w:sz w:val="28"/>
          <w:lang w:val="ru-RU"/>
        </w:rPr>
      </w:pPr>
      <w:r>
        <w:rPr>
          <w:rFonts w:ascii="Times New Roman" w:hAnsi="Times New Roman"/>
          <w:b/>
          <w:color w:val="000000"/>
          <w:sz w:val="28"/>
          <w:lang w:val="ru-RU"/>
        </w:rPr>
      </w:r>
    </w:p>
    <w:p>
      <w:pPr>
        <w:pStyle w:val="NormalWeb"/>
        <w:numPr>
          <w:ilvl w:val="0"/>
          <w:numId w:val="0"/>
        </w:numPr>
        <w:jc w:val="center"/>
        <w:outlineLvl w:val="0"/>
        <w:rPr>
          <w:rFonts w:ascii="Times New Roman" w:hAnsi="Times New Roman"/>
          <w:b/>
          <w:b/>
          <w:color w:val="000000"/>
          <w:spacing w:val="60"/>
          <w:sz w:val="40"/>
          <w:szCs w:val="40"/>
          <w:lang w:val="ru-RU"/>
        </w:rPr>
      </w:pPr>
      <w:bookmarkStart w:id="13" w:name="_Toc96823378"/>
      <w:r>
        <w:rPr>
          <w:rFonts w:ascii="Times New Roman" w:hAnsi="Times New Roman"/>
          <w:b/>
          <w:color w:val="000000"/>
          <w:spacing w:val="60"/>
          <w:sz w:val="40"/>
          <w:szCs w:val="40"/>
          <w:lang w:val="ru-RU"/>
        </w:rPr>
        <w:t>ГОСУДАРСТВЕННЫЙ</w:t>
      </w:r>
      <w:bookmarkEnd w:id="13"/>
    </w:p>
    <w:p>
      <w:pPr>
        <w:pStyle w:val="NormalWeb"/>
        <w:numPr>
          <w:ilvl w:val="0"/>
          <w:numId w:val="0"/>
        </w:numPr>
        <w:jc w:val="center"/>
        <w:outlineLvl w:val="0"/>
        <w:rPr>
          <w:rFonts w:ascii="Times New Roman" w:hAnsi="Times New Roman"/>
          <w:b/>
          <w:b/>
          <w:color w:val="000000"/>
          <w:spacing w:val="60"/>
          <w:sz w:val="40"/>
          <w:szCs w:val="40"/>
          <w:lang w:val="ru-RU"/>
        </w:rPr>
      </w:pPr>
      <w:bookmarkStart w:id="14" w:name="_Toc96823379"/>
      <w:r>
        <w:rPr>
          <w:rFonts w:ascii="Times New Roman" w:hAnsi="Times New Roman"/>
          <w:b/>
          <w:color w:val="000000"/>
          <w:spacing w:val="60"/>
          <w:sz w:val="40"/>
          <w:szCs w:val="40"/>
          <w:lang w:val="ru-RU"/>
        </w:rPr>
        <w:t>(РЕГИОНАЛЬНЫЙ)</w:t>
      </w:r>
      <w:bookmarkEnd w:id="14"/>
    </w:p>
    <w:p>
      <w:pPr>
        <w:pStyle w:val="NormalWeb"/>
        <w:numPr>
          <w:ilvl w:val="0"/>
          <w:numId w:val="0"/>
        </w:numPr>
        <w:jc w:val="center"/>
        <w:outlineLvl w:val="0"/>
        <w:rPr>
          <w:rFonts w:ascii="Albertus Extra Bold" w:hAnsi="Albertus Extra Bold"/>
          <w:b/>
          <w:b/>
          <w:color w:val="000000"/>
          <w:spacing w:val="60"/>
          <w:sz w:val="40"/>
          <w:szCs w:val="40"/>
          <w:lang w:val="ru-RU"/>
        </w:rPr>
      </w:pPr>
      <w:bookmarkStart w:id="15" w:name="_Toc96823380"/>
      <w:r>
        <w:rPr>
          <w:rFonts w:ascii="Times New Roman" w:hAnsi="Times New Roman"/>
          <w:b/>
          <w:color w:val="000000"/>
          <w:spacing w:val="60"/>
          <w:sz w:val="40"/>
          <w:szCs w:val="40"/>
          <w:lang w:val="ru-RU"/>
        </w:rPr>
        <w:t>ДОКЛАД</w:t>
      </w:r>
      <w:bookmarkEnd w:id="15"/>
    </w:p>
    <w:p>
      <w:pPr>
        <w:pStyle w:val="NormalWeb"/>
        <w:jc w:val="center"/>
        <w:rPr>
          <w:rFonts w:ascii="Arial" w:hAnsi="Arial"/>
          <w:b/>
          <w:b/>
          <w:color w:val="000000"/>
          <w:sz w:val="32"/>
          <w:lang w:val="ru-RU"/>
        </w:rPr>
      </w:pPr>
      <w:r>
        <w:rPr>
          <w:rFonts w:ascii="Arial" w:hAnsi="Arial"/>
          <w:b/>
          <w:color w:val="000000"/>
          <w:sz w:val="32"/>
          <w:lang w:val="ru-RU"/>
        </w:rPr>
      </w:r>
    </w:p>
    <w:p>
      <w:pPr>
        <w:pStyle w:val="NormalWeb"/>
        <w:rPr>
          <w:rFonts w:ascii="Arial" w:hAnsi="Arial"/>
          <w:b/>
          <w:b/>
          <w:color w:val="000000"/>
          <w:sz w:val="32"/>
          <w:lang w:val="ru-RU"/>
        </w:rPr>
      </w:pPr>
      <w:r>
        <w:rPr>
          <w:rFonts w:ascii="Arial" w:hAnsi="Arial"/>
          <w:b/>
          <w:color w:val="000000"/>
          <w:sz w:val="32"/>
          <w:lang w:val="ru-RU"/>
        </w:rPr>
      </w:r>
    </w:p>
    <w:p>
      <w:pPr>
        <w:pStyle w:val="NormalWeb"/>
        <w:jc w:val="center"/>
        <w:rPr>
          <w:rFonts w:ascii="Times New Roman" w:hAnsi="Times New Roman"/>
          <w:b/>
          <w:b/>
          <w:spacing w:val="60"/>
          <w:sz w:val="32"/>
          <w:szCs w:val="32"/>
          <w:lang w:val="ru-RU"/>
        </w:rPr>
      </w:pPr>
      <w:r>
        <w:rPr>
          <w:rFonts w:ascii="Times New Roman" w:hAnsi="Times New Roman"/>
          <w:b/>
          <w:spacing w:val="60"/>
          <w:sz w:val="32"/>
          <w:szCs w:val="32"/>
          <w:lang w:val="ru-RU"/>
        </w:rPr>
        <w:t>О СОСТОЯНИИ И ИСПОЛЬЗОВАНИИ</w:t>
      </w:r>
    </w:p>
    <w:p>
      <w:pPr>
        <w:pStyle w:val="NormalWeb"/>
        <w:jc w:val="center"/>
        <w:rPr>
          <w:rFonts w:ascii="Times New Roman" w:hAnsi="Times New Roman"/>
          <w:b/>
          <w:b/>
          <w:spacing w:val="60"/>
          <w:sz w:val="32"/>
          <w:szCs w:val="32"/>
          <w:lang w:val="ru-RU"/>
        </w:rPr>
      </w:pPr>
      <w:r>
        <w:rPr>
          <w:rFonts w:ascii="Times New Roman" w:hAnsi="Times New Roman"/>
          <w:b/>
          <w:spacing w:val="60"/>
          <w:sz w:val="32"/>
          <w:szCs w:val="32"/>
          <w:lang w:val="ru-RU"/>
        </w:rPr>
        <w:t>ЗЕМЕЛЬ В ПРИМОРСКОМ КРАЕ</w:t>
      </w:r>
    </w:p>
    <w:p>
      <w:pPr>
        <w:pStyle w:val="NormalWeb"/>
        <w:jc w:val="center"/>
        <w:rPr>
          <w:rFonts w:ascii="Times New Roman" w:hAnsi="Times New Roman"/>
          <w:b/>
          <w:b/>
          <w:spacing w:val="60"/>
          <w:sz w:val="32"/>
          <w:szCs w:val="32"/>
          <w:lang w:val="ru-RU"/>
        </w:rPr>
      </w:pPr>
      <w:r>
        <w:rPr>
          <w:rFonts w:ascii="Times New Roman" w:hAnsi="Times New Roman"/>
          <w:b/>
          <w:spacing w:val="60"/>
          <w:sz w:val="32"/>
          <w:szCs w:val="32"/>
          <w:lang w:val="ru-RU"/>
        </w:rPr>
        <w:t>В 2016 ГОДУ</w:t>
      </w:r>
    </w:p>
    <w:p>
      <w:pPr>
        <w:pStyle w:val="NormalWeb"/>
        <w:rPr>
          <w:rFonts w:ascii="Times New Roman" w:hAnsi="Times New Roman"/>
          <w:b/>
          <w:b/>
          <w:spacing w:val="60"/>
          <w:sz w:val="24"/>
          <w:szCs w:val="24"/>
          <w:lang w:val="ru-RU"/>
        </w:rPr>
      </w:pPr>
      <w:r>
        <w:rPr>
          <w:rFonts w:ascii="Times New Roman" w:hAnsi="Times New Roman"/>
          <w:b/>
          <w:spacing w:val="60"/>
          <w:sz w:val="24"/>
          <w:szCs w:val="24"/>
          <w:lang w:val="ru-RU"/>
        </w:rPr>
      </w:r>
    </w:p>
    <w:p>
      <w:pPr>
        <w:pStyle w:val="NormalWeb"/>
        <w:numPr>
          <w:ilvl w:val="0"/>
          <w:numId w:val="0"/>
        </w:numPr>
        <w:jc w:val="center"/>
        <w:outlineLvl w:val="0"/>
        <w:rPr>
          <w:rFonts w:ascii="Times New Roman" w:hAnsi="Times New Roman"/>
          <w:color w:val="000000"/>
          <w:sz w:val="28"/>
          <w:szCs w:val="28"/>
          <w:lang w:val="ru-RU"/>
        </w:rPr>
      </w:pPr>
      <w:r>
        <w:rPr>
          <w:rFonts w:ascii="Times New Roman" w:hAnsi="Times New Roman"/>
          <w:color w:val="000000"/>
          <w:sz w:val="28"/>
          <w:szCs w:val="28"/>
          <w:lang w:val="ru-RU"/>
        </w:rPr>
      </w:r>
      <w:bookmarkStart w:id="16" w:name="_Toc96823381"/>
      <w:bookmarkStart w:id="17" w:name="_Toc96823381"/>
    </w:p>
    <w:p>
      <w:pPr>
        <w:pStyle w:val="NormalWeb"/>
        <w:numPr>
          <w:ilvl w:val="0"/>
          <w:numId w:val="0"/>
        </w:numPr>
        <w:jc w:val="center"/>
        <w:outlineLvl w:val="0"/>
        <w:rPr>
          <w:rFonts w:ascii="Times New Roman" w:hAnsi="Times New Roman"/>
          <w:color w:val="000000"/>
          <w:sz w:val="28"/>
          <w:szCs w:val="28"/>
          <w:lang w:val="ru-RU"/>
        </w:rPr>
      </w:pPr>
      <w:r>
        <w:rPr>
          <w:rFonts w:ascii="Times New Roman" w:hAnsi="Times New Roman"/>
          <w:color w:val="000000"/>
          <w:sz w:val="28"/>
          <w:szCs w:val="28"/>
          <w:lang w:val="ru-RU"/>
        </w:rPr>
      </w:r>
    </w:p>
    <w:p>
      <w:pPr>
        <w:pStyle w:val="NormalWeb"/>
        <w:numPr>
          <w:ilvl w:val="0"/>
          <w:numId w:val="0"/>
        </w:numPr>
        <w:jc w:val="center"/>
        <w:outlineLvl w:val="0"/>
        <w:rPr>
          <w:rFonts w:ascii="Times New Roman" w:hAnsi="Times New Roman"/>
          <w:color w:val="000000"/>
          <w:sz w:val="28"/>
          <w:szCs w:val="28"/>
          <w:lang w:val="ru-RU"/>
        </w:rPr>
      </w:pPr>
      <w:r>
        <w:rPr>
          <w:rFonts w:ascii="Times New Roman" w:hAnsi="Times New Roman"/>
          <w:color w:val="000000"/>
          <w:sz w:val="28"/>
          <w:szCs w:val="28"/>
          <w:lang w:val="ru-RU"/>
        </w:rPr>
      </w:r>
    </w:p>
    <w:p>
      <w:pPr>
        <w:pStyle w:val="NormalWeb"/>
        <w:numPr>
          <w:ilvl w:val="0"/>
          <w:numId w:val="0"/>
        </w:numPr>
        <w:jc w:val="center"/>
        <w:outlineLvl w:val="0"/>
        <w:rPr>
          <w:rFonts w:ascii="Times New Roman" w:hAnsi="Times New Roman"/>
          <w:color w:val="000000"/>
          <w:sz w:val="28"/>
          <w:szCs w:val="28"/>
          <w:lang w:val="ru-RU"/>
        </w:rPr>
      </w:pPr>
      <w:r>
        <w:rPr>
          <w:rFonts w:ascii="Times New Roman" w:hAnsi="Times New Roman"/>
          <w:color w:val="000000"/>
          <w:sz w:val="28"/>
          <w:szCs w:val="28"/>
          <w:lang w:val="ru-RU"/>
        </w:rPr>
      </w:r>
    </w:p>
    <w:p>
      <w:pPr>
        <w:pStyle w:val="NormalWeb"/>
        <w:numPr>
          <w:ilvl w:val="0"/>
          <w:numId w:val="0"/>
        </w:numPr>
        <w:jc w:val="center"/>
        <w:outlineLvl w:val="0"/>
        <w:rPr>
          <w:rFonts w:ascii="Times New Roman" w:hAnsi="Times New Roman"/>
          <w:sz w:val="28"/>
          <w:szCs w:val="28"/>
          <w:lang w:val="ru-RU"/>
        </w:rPr>
      </w:pPr>
      <w:r>
        <w:rPr>
          <w:rFonts w:ascii="Times New Roman" w:hAnsi="Times New Roman"/>
          <w:color w:val="000000"/>
          <w:sz w:val="28"/>
          <w:szCs w:val="28"/>
        </w:rPr>
        <w:t>В</w:t>
      </w:r>
      <w:r>
        <w:rPr>
          <w:rFonts w:ascii="Times New Roman" w:hAnsi="Times New Roman"/>
          <w:color w:val="000000"/>
          <w:sz w:val="28"/>
          <w:szCs w:val="28"/>
          <w:lang w:val="ru-RU"/>
        </w:rPr>
        <w:t>ЛАДИВОСТОК</w:t>
      </w:r>
      <w:bookmarkEnd w:id="17"/>
      <w:r>
        <w:rPr>
          <w:rFonts w:ascii="Times New Roman" w:hAnsi="Times New Roman"/>
          <w:color w:val="000000"/>
          <w:sz w:val="28"/>
          <w:szCs w:val="28"/>
          <w:lang w:val="ru-RU"/>
        </w:rPr>
        <w:t xml:space="preserve">, </w:t>
      </w:r>
      <w:r>
        <w:rPr>
          <w:rFonts w:ascii="Times New Roman" w:hAnsi="Times New Roman"/>
          <w:sz w:val="28"/>
          <w:szCs w:val="28"/>
        </w:rPr>
        <w:t>201</w:t>
      </w:r>
      <w:r>
        <w:rPr>
          <w:rFonts w:ascii="Times New Roman" w:hAnsi="Times New Roman"/>
          <w:sz w:val="28"/>
          <w:szCs w:val="28"/>
          <w:lang w:val="ru-RU"/>
        </w:rPr>
        <w:t>7</w:t>
      </w:r>
    </w:p>
    <w:p>
      <w:pPr>
        <w:pStyle w:val="NormalWeb"/>
        <w:numPr>
          <w:ilvl w:val="0"/>
          <w:numId w:val="0"/>
        </w:numPr>
        <w:jc w:val="center"/>
        <w:outlineLvl w:val="0"/>
        <w:rPr>
          <w:rFonts w:ascii="Times New Roman" w:hAnsi="Times New Roman"/>
          <w:b/>
          <w:b/>
          <w:color w:val="000000"/>
          <w:sz w:val="28"/>
          <w:szCs w:val="28"/>
        </w:rPr>
      </w:pPr>
      <w:r>
        <w:rPr>
          <w:rFonts w:ascii="Times New Roman" w:hAnsi="Times New Roman"/>
          <w:b/>
          <w:color w:val="000000"/>
          <w:sz w:val="28"/>
          <w:szCs w:val="28"/>
        </w:rPr>
      </w:r>
    </w:p>
    <w:p>
      <w:pPr>
        <w:pStyle w:val="Normal"/>
        <w:spacing w:lineRule="auto" w:line="240" w:before="240" w:after="200"/>
        <w:jc w:val="center"/>
        <w:rPr>
          <w:rFonts w:ascii="Times New Roman" w:hAnsi="Times New Roman" w:cs="Times New Roman"/>
          <w:b/>
          <w:b/>
          <w:sz w:val="28"/>
          <w:szCs w:val="28"/>
        </w:rPr>
      </w:pPr>
      <w:bookmarkStart w:id="18" w:name="_Toc96823383"/>
      <w:bookmarkStart w:id="19" w:name="_Toc97106158"/>
      <w:bookmarkStart w:id="20" w:name="_Toc130628057"/>
      <w:bookmarkStart w:id="21" w:name="_Toc34212831"/>
      <w:bookmarkStart w:id="22" w:name="_Toc34558201"/>
      <w:bookmarkStart w:id="23" w:name="_Toc34559001"/>
      <w:bookmarkStart w:id="24" w:name="_Toc34559178"/>
      <w:bookmarkStart w:id="25" w:name="_Toc34560030"/>
      <w:bookmarkStart w:id="26" w:name="_Toc34560078"/>
      <w:bookmarkStart w:id="27" w:name="_Toc34560168"/>
      <w:bookmarkStart w:id="28" w:name="_Toc95718797"/>
      <w:bookmarkStart w:id="29" w:name="_Toc97106156"/>
      <w:bookmarkStart w:id="30" w:name="_Toc130628055"/>
      <w:r>
        <w:rPr>
          <w:rFonts w:cs="Times New Roman" w:ascii="Times New Roman" w:hAnsi="Times New Roman"/>
          <w:b/>
          <w:sz w:val="28"/>
          <w:szCs w:val="28"/>
        </w:rPr>
        <w:t>ОГЛАВЛЕНИЕ</w:t>
      </w:r>
      <w:bookmarkEnd w:id="18"/>
      <w:bookmarkEnd w:id="19"/>
      <w:bookmarkEnd w:id="20"/>
      <w:bookmarkEnd w:id="21"/>
      <w:bookmarkEnd w:id="22"/>
      <w:bookmarkEnd w:id="23"/>
      <w:bookmarkEnd w:id="24"/>
      <w:bookmarkEnd w:id="25"/>
      <w:bookmarkEnd w:id="26"/>
      <w:bookmarkEnd w:id="27"/>
      <w:bookmarkEnd w:id="28"/>
      <w:bookmarkEnd w:id="29"/>
      <w:bookmarkEnd w:id="30"/>
    </w:p>
    <w:tbl>
      <w:tblPr>
        <w:tblW w:w="974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96"/>
        <w:gridCol w:w="7468"/>
        <w:gridCol w:w="1283"/>
      </w:tblGrid>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п/п</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jc w:val="center"/>
              <w:rPr>
                <w:rFonts w:ascii="Times New Roman" w:hAnsi="Times New Roman" w:cs="Times New Roman"/>
                <w:sz w:val="24"/>
                <w:szCs w:val="24"/>
              </w:rPr>
            </w:pPr>
            <w:r>
              <w:rPr>
                <w:rFonts w:cs="Times New Roman" w:ascii="Times New Roman" w:hAnsi="Times New Roman"/>
                <w:sz w:val="24"/>
                <w:szCs w:val="24"/>
              </w:rPr>
              <w:t>Наименование глав и разделов</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номер страницы</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both"/>
              <w:rPr>
                <w:rFonts w:ascii="Times New Roman" w:hAnsi="Times New Roman" w:cs="Times New Roman"/>
                <w:sz w:val="24"/>
                <w:szCs w:val="24"/>
              </w:rPr>
            </w:pPr>
            <w:r>
              <w:rPr>
                <w:rFonts w:cs="Times New Roman" w:ascii="Times New Roman" w:hAnsi="Times New Roman"/>
                <w:sz w:val="24"/>
                <w:szCs w:val="24"/>
              </w:rPr>
              <w:t>Предисловие</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4</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b/>
                <w:b/>
                <w:sz w:val="24"/>
                <w:szCs w:val="24"/>
              </w:rPr>
            </w:pPr>
            <w:r>
              <w:rPr>
                <w:rFonts w:cs="Times New Roman" w:ascii="Times New Roman" w:hAnsi="Times New Roman"/>
                <w:b/>
                <w:sz w:val="24"/>
                <w:szCs w:val="24"/>
              </w:rPr>
              <w:t>1</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rPr>
                <w:rFonts w:ascii="Times New Roman" w:hAnsi="Times New Roman" w:cs="Times New Roman"/>
                <w:b/>
                <w:b/>
                <w:sz w:val="24"/>
                <w:szCs w:val="24"/>
              </w:rPr>
            </w:pPr>
            <w:r>
              <w:rPr>
                <w:rFonts w:cs="Times New Roman" w:ascii="Times New Roman" w:hAnsi="Times New Roman"/>
                <w:b/>
                <w:sz w:val="24"/>
                <w:szCs w:val="24"/>
              </w:rPr>
              <w:t>Земельный фонд Приморского края</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5</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b/>
                <w:b/>
                <w:sz w:val="24"/>
                <w:szCs w:val="24"/>
              </w:rPr>
            </w:pPr>
            <w:r>
              <w:rPr>
                <w:rFonts w:cs="Times New Roman" w:ascii="Times New Roman" w:hAnsi="Times New Roman"/>
                <w:b/>
                <w:sz w:val="24"/>
                <w:szCs w:val="24"/>
              </w:rPr>
              <w:t>1.1</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b/>
                <w:b/>
                <w:sz w:val="24"/>
                <w:szCs w:val="24"/>
                <w:lang w:val="ru-RU"/>
              </w:rPr>
            </w:pPr>
            <w:r>
              <w:rPr>
                <w:rFonts w:cs="Times New Roman" w:ascii="Times New Roman" w:hAnsi="Times New Roman"/>
                <w:b/>
                <w:sz w:val="24"/>
                <w:szCs w:val="24"/>
                <w:lang w:val="ru-RU"/>
              </w:rPr>
              <w:t>Распределение земельного фонда по категориям земель</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6</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rPr>
            </w:pPr>
            <w:r>
              <w:rPr>
                <w:rFonts w:cs="Times New Roman" w:ascii="Times New Roman" w:hAnsi="Times New Roman"/>
                <w:sz w:val="24"/>
                <w:szCs w:val="24"/>
              </w:rPr>
              <w:t>1.1.1</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rPr>
            </w:pPr>
            <w:r>
              <w:rPr>
                <w:rFonts w:cs="Times New Roman" w:ascii="Times New Roman" w:hAnsi="Times New Roman"/>
                <w:sz w:val="24"/>
                <w:szCs w:val="24"/>
              </w:rPr>
              <w:t>Земли сельскохозяйственного назначения</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10</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rPr>
            </w:pPr>
            <w:r>
              <w:rPr>
                <w:rFonts w:cs="Times New Roman" w:ascii="Times New Roman" w:hAnsi="Times New Roman"/>
                <w:sz w:val="24"/>
                <w:szCs w:val="24"/>
              </w:rPr>
              <w:t>1.1.2</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rPr>
            </w:pPr>
            <w:r>
              <w:rPr>
                <w:rFonts w:cs="Times New Roman" w:ascii="Times New Roman" w:hAnsi="Times New Roman"/>
                <w:sz w:val="24"/>
                <w:szCs w:val="24"/>
              </w:rPr>
              <w:t>Земли населенных пунктов</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13</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rPr>
            </w:pPr>
            <w:r>
              <w:rPr>
                <w:rFonts w:cs="Times New Roman" w:ascii="Times New Roman" w:hAnsi="Times New Roman"/>
                <w:sz w:val="24"/>
                <w:szCs w:val="24"/>
              </w:rPr>
              <w:t>1.1.3</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16</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1.1.4</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Земли особо охраняемых территорий и объектов</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18</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1.1.5</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rPr>
            </w:pPr>
            <w:r>
              <w:rPr>
                <w:rFonts w:cs="Times New Roman" w:ascii="Times New Roman" w:hAnsi="Times New Roman"/>
                <w:sz w:val="24"/>
                <w:szCs w:val="24"/>
              </w:rPr>
              <w:t>Земли лесного фонда</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20</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4"/>
                <w:lang w:val="ru-RU"/>
              </w:rPr>
            </w:pPr>
            <w:r>
              <w:rPr>
                <w:rFonts w:cs="Times New Roman" w:ascii="Times New Roman" w:hAnsi="Times New Roman"/>
                <w:sz w:val="24"/>
                <w:szCs w:val="24"/>
                <w:lang w:val="ru-RU"/>
              </w:rPr>
              <w:t>1.1.6</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rPr>
            </w:pPr>
            <w:r>
              <w:rPr>
                <w:rFonts w:cs="Times New Roman" w:ascii="Times New Roman" w:hAnsi="Times New Roman"/>
                <w:sz w:val="24"/>
                <w:szCs w:val="24"/>
              </w:rPr>
              <w:t>Земли водного фонда</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21</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1.1.7</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rPr>
            </w:pPr>
            <w:r>
              <w:rPr>
                <w:rFonts w:cs="Times New Roman" w:ascii="Times New Roman" w:hAnsi="Times New Roman"/>
                <w:sz w:val="24"/>
                <w:szCs w:val="24"/>
              </w:rPr>
              <w:t>Земли запаса</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22</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b/>
                <w:b/>
                <w:sz w:val="24"/>
                <w:szCs w:val="24"/>
                <w:lang w:val="ru-RU"/>
              </w:rPr>
            </w:pPr>
            <w:r>
              <w:rPr>
                <w:rFonts w:cs="Times New Roman" w:ascii="Times New Roman" w:hAnsi="Times New Roman"/>
                <w:b/>
                <w:sz w:val="24"/>
                <w:szCs w:val="24"/>
                <w:lang w:val="ru-RU"/>
              </w:rPr>
              <w:t>1.2</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b/>
                <w:b/>
                <w:sz w:val="24"/>
                <w:szCs w:val="24"/>
                <w:lang w:val="ru-RU"/>
              </w:rPr>
            </w:pPr>
            <w:r>
              <w:rPr>
                <w:rFonts w:cs="Times New Roman" w:ascii="Times New Roman" w:hAnsi="Times New Roman"/>
                <w:b/>
                <w:sz w:val="24"/>
                <w:szCs w:val="24"/>
                <w:lang w:val="ru-RU"/>
              </w:rPr>
              <w:t>Распределение земельного фонда по угодьям</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23</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1.2.1</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rPr>
            </w:pPr>
            <w:r>
              <w:rPr>
                <w:rFonts w:cs="Times New Roman" w:ascii="Times New Roman" w:hAnsi="Times New Roman"/>
                <w:sz w:val="24"/>
                <w:szCs w:val="24"/>
              </w:rPr>
              <w:t>Сельскохозяйственные угодья</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23</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1.2.2</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Земли под водой, включая болота</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24</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1.2.3</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rPr>
            </w:pPr>
            <w:r>
              <w:rPr>
                <w:rFonts w:cs="Times New Roman" w:ascii="Times New Roman" w:hAnsi="Times New Roman"/>
                <w:sz w:val="24"/>
                <w:szCs w:val="24"/>
              </w:rPr>
              <w:t>Земли застройки</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25</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1.2.4</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rPr>
            </w:pPr>
            <w:r>
              <w:rPr>
                <w:rFonts w:cs="Times New Roman" w:ascii="Times New Roman" w:hAnsi="Times New Roman"/>
                <w:sz w:val="24"/>
                <w:szCs w:val="24"/>
              </w:rPr>
              <w:t>Земли под дорогами</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26</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1.2.5</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Лесные площади и лесные насаждения, не входящие в лесной фонд</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26</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1.2.6</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rPr>
            </w:pPr>
            <w:r>
              <w:rPr>
                <w:rFonts w:cs="Times New Roman" w:ascii="Times New Roman" w:hAnsi="Times New Roman"/>
                <w:sz w:val="24"/>
                <w:szCs w:val="24"/>
                <w:lang w:val="ru-RU"/>
              </w:rPr>
              <w:t>Другие</w:t>
            </w:r>
            <w:r>
              <w:rPr>
                <w:rFonts w:cs="Times New Roman" w:ascii="Times New Roman" w:hAnsi="Times New Roman"/>
                <w:sz w:val="24"/>
                <w:szCs w:val="24"/>
              </w:rPr>
              <w:t xml:space="preserve"> земли</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27</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1.2.7</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Земли под оленьими пастбищами</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28</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b/>
                <w:b/>
                <w:sz w:val="24"/>
                <w:szCs w:val="24"/>
                <w:lang w:val="ru-RU"/>
              </w:rPr>
            </w:pPr>
            <w:r>
              <w:rPr>
                <w:rFonts w:cs="Times New Roman" w:ascii="Times New Roman" w:hAnsi="Times New Roman"/>
                <w:b/>
                <w:sz w:val="24"/>
                <w:szCs w:val="24"/>
                <w:lang w:val="ru-RU"/>
              </w:rPr>
              <w:t>1.3</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both"/>
              <w:rPr>
                <w:rFonts w:ascii="Times New Roman" w:hAnsi="Times New Roman" w:cs="Times New Roman"/>
                <w:b/>
                <w:b/>
                <w:sz w:val="24"/>
                <w:szCs w:val="24"/>
                <w:lang w:val="ru-RU"/>
              </w:rPr>
            </w:pPr>
            <w:r>
              <w:rPr>
                <w:rFonts w:cs="Times New Roman" w:ascii="Times New Roman" w:hAnsi="Times New Roman"/>
                <w:b/>
                <w:sz w:val="24"/>
                <w:szCs w:val="24"/>
                <w:lang w:val="ru-RU"/>
              </w:rPr>
              <w:t>Распределение земель по формам собственности и принадлежности Российской Федерации, субъекту Российской Федерации и муниципальному образованию</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28</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4"/>
                <w:lang w:val="ru-RU"/>
              </w:rPr>
            </w:pPr>
            <w:r>
              <w:rPr>
                <w:rFonts w:cs="Times New Roman" w:ascii="Times New Roman" w:hAnsi="Times New Roman"/>
                <w:sz w:val="24"/>
                <w:szCs w:val="24"/>
                <w:lang w:val="ru-RU"/>
              </w:rPr>
              <w:t>1.3.1</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rPr>
            </w:pPr>
            <w:r>
              <w:rPr>
                <w:rFonts w:cs="Times New Roman" w:ascii="Times New Roman" w:hAnsi="Times New Roman"/>
                <w:sz w:val="24"/>
                <w:szCs w:val="24"/>
              </w:rPr>
              <w:t>Распределение земель сельскохозяйственного назначения</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30</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1.3.2</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rPr>
            </w:pPr>
            <w:r>
              <w:rPr>
                <w:rFonts w:cs="Times New Roman" w:ascii="Times New Roman" w:hAnsi="Times New Roman"/>
                <w:sz w:val="24"/>
                <w:szCs w:val="24"/>
              </w:rPr>
              <w:t>Распределение земель населенных пунктов</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31</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1.3.3</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Распределение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иного специального назначения</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33</w:t>
            </w:r>
          </w:p>
        </w:tc>
      </w:tr>
      <w:tr>
        <w:trPr>
          <w:trHeight w:val="279" w:hRule="atLeast"/>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4"/>
                <w:lang w:val="ru-RU"/>
              </w:rPr>
            </w:pPr>
            <w:r>
              <w:rPr>
                <w:rFonts w:cs="Times New Roman" w:ascii="Times New Roman" w:hAnsi="Times New Roman"/>
                <w:sz w:val="24"/>
                <w:szCs w:val="24"/>
                <w:lang w:val="ru-RU"/>
              </w:rPr>
              <w:t>1.3.4</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Распределение земель особо охраняемых территорий и объектов</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34</w:t>
            </w:r>
          </w:p>
        </w:tc>
      </w:tr>
      <w:tr>
        <w:trPr>
          <w:trHeight w:val="277" w:hRule="atLeast"/>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4"/>
                <w:lang w:val="ru-RU"/>
              </w:rPr>
            </w:pPr>
            <w:r>
              <w:rPr>
                <w:rFonts w:cs="Times New Roman" w:ascii="Times New Roman" w:hAnsi="Times New Roman"/>
                <w:sz w:val="24"/>
                <w:szCs w:val="24"/>
                <w:lang w:val="ru-RU"/>
              </w:rPr>
              <w:t>1.3.5</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4"/>
                <w:lang w:val="ru-RU"/>
              </w:rPr>
            </w:pPr>
            <w:r>
              <w:rPr>
                <w:rFonts w:cs="Times New Roman" w:ascii="Times New Roman" w:hAnsi="Times New Roman"/>
                <w:sz w:val="24"/>
                <w:szCs w:val="24"/>
                <w:lang w:val="ru-RU"/>
              </w:rPr>
              <w:t>Распределение земель лесного фонда</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34</w:t>
            </w:r>
          </w:p>
        </w:tc>
      </w:tr>
      <w:tr>
        <w:trPr>
          <w:trHeight w:val="277" w:hRule="atLeast"/>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4"/>
                <w:lang w:val="ru-RU"/>
              </w:rPr>
            </w:pPr>
            <w:r>
              <w:rPr>
                <w:rFonts w:cs="Times New Roman" w:ascii="Times New Roman" w:hAnsi="Times New Roman"/>
                <w:sz w:val="24"/>
                <w:szCs w:val="24"/>
                <w:lang w:val="ru-RU"/>
              </w:rPr>
              <w:t>1.3.6</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4"/>
                <w:lang w:val="ru-RU"/>
              </w:rPr>
            </w:pPr>
            <w:r>
              <w:rPr>
                <w:rFonts w:cs="Times New Roman" w:ascii="Times New Roman" w:hAnsi="Times New Roman"/>
                <w:sz w:val="24"/>
                <w:szCs w:val="24"/>
                <w:lang w:val="ru-RU"/>
              </w:rPr>
              <w:t>Распределение земель водного фонда</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34</w:t>
            </w:r>
          </w:p>
        </w:tc>
      </w:tr>
      <w:tr>
        <w:trPr>
          <w:trHeight w:val="277" w:hRule="atLeast"/>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4"/>
                <w:lang w:val="ru-RU"/>
              </w:rPr>
            </w:pPr>
            <w:r>
              <w:rPr>
                <w:rFonts w:cs="Times New Roman" w:ascii="Times New Roman" w:hAnsi="Times New Roman"/>
                <w:sz w:val="24"/>
                <w:szCs w:val="24"/>
                <w:lang w:val="ru-RU"/>
              </w:rPr>
              <w:t>1.3.7</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4"/>
                <w:lang w:val="ru-RU"/>
              </w:rPr>
            </w:pPr>
            <w:r>
              <w:rPr>
                <w:rFonts w:cs="Times New Roman" w:ascii="Times New Roman" w:hAnsi="Times New Roman"/>
                <w:sz w:val="24"/>
                <w:szCs w:val="24"/>
                <w:lang w:val="ru-RU"/>
              </w:rPr>
              <w:t>Распределение земель запаса</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34</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b/>
                <w:b/>
                <w:sz w:val="24"/>
                <w:szCs w:val="26"/>
              </w:rPr>
            </w:pPr>
            <w:r>
              <w:rPr>
                <w:rFonts w:cs="Times New Roman" w:ascii="Times New Roman" w:hAnsi="Times New Roman"/>
                <w:b/>
                <w:sz w:val="24"/>
                <w:szCs w:val="26"/>
              </w:rPr>
              <w:t>1.4</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both"/>
              <w:rPr>
                <w:rFonts w:ascii="Times New Roman" w:hAnsi="Times New Roman" w:cs="Times New Roman"/>
                <w:b/>
                <w:b/>
                <w:sz w:val="24"/>
                <w:szCs w:val="24"/>
                <w:lang w:val="ru-RU"/>
              </w:rPr>
            </w:pPr>
            <w:r>
              <w:rPr>
                <w:rFonts w:cs="Times New Roman" w:ascii="Times New Roman" w:hAnsi="Times New Roman"/>
                <w:b/>
                <w:sz w:val="24"/>
                <w:szCs w:val="24"/>
                <w:lang w:val="ru-RU"/>
              </w:rPr>
              <w:t>Использование земель производителями сельскохозяйственной продукции</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35</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6"/>
              </w:rPr>
            </w:pPr>
            <w:r>
              <w:rPr>
                <w:rFonts w:cs="Times New Roman" w:ascii="Times New Roman" w:hAnsi="Times New Roman"/>
                <w:sz w:val="24"/>
                <w:szCs w:val="26"/>
              </w:rPr>
              <w:t>1.4.1</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Использование земель организациями для производства сельскохозяйственной продукции (сведения о формах собственности  на землю)</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35</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6"/>
              </w:rPr>
            </w:pPr>
            <w:r>
              <w:rPr>
                <w:rFonts w:cs="Times New Roman" w:ascii="Times New Roman" w:hAnsi="Times New Roman"/>
                <w:sz w:val="24"/>
                <w:szCs w:val="26"/>
              </w:rPr>
              <w:t>1.4.2</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Использование земель гражданами для производства сельскохозяйственной продукции (сведения о правах на земельные участки)</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38</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b/>
                <w:b/>
                <w:sz w:val="24"/>
                <w:szCs w:val="26"/>
              </w:rPr>
            </w:pPr>
            <w:r>
              <w:rPr>
                <w:rFonts w:cs="Times New Roman" w:ascii="Times New Roman" w:hAnsi="Times New Roman"/>
                <w:b/>
                <w:sz w:val="24"/>
                <w:szCs w:val="26"/>
              </w:rPr>
              <w:t>1.5</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both"/>
              <w:rPr>
                <w:rFonts w:ascii="Times New Roman" w:hAnsi="Times New Roman" w:cs="Times New Roman"/>
                <w:b/>
                <w:b/>
                <w:sz w:val="24"/>
                <w:szCs w:val="24"/>
                <w:lang w:val="ru-RU"/>
              </w:rPr>
            </w:pPr>
            <w:r>
              <w:rPr>
                <w:rFonts w:cs="Times New Roman" w:ascii="Times New Roman" w:hAnsi="Times New Roman"/>
                <w:b/>
                <w:sz w:val="24"/>
                <w:szCs w:val="24"/>
                <w:lang w:val="ru-RU"/>
              </w:rPr>
              <w:t>Сведения о наличии земельных участков, предоставленных гражданам</w:t>
            </w:r>
          </w:p>
          <w:p>
            <w:pPr>
              <w:pStyle w:val="NormalWeb"/>
              <w:widowControl w:val="false"/>
              <w:spacing w:lineRule="auto" w:line="240" w:before="0" w:after="0"/>
              <w:contextualSpacing/>
              <w:jc w:val="both"/>
              <w:rPr>
                <w:rFonts w:ascii="Times New Roman" w:hAnsi="Times New Roman" w:cs="Times New Roman"/>
                <w:b/>
                <w:b/>
                <w:sz w:val="24"/>
                <w:szCs w:val="24"/>
                <w:lang w:val="ru-RU"/>
              </w:rPr>
            </w:pPr>
            <w:r>
              <w:rPr>
                <w:rFonts w:cs="Times New Roman" w:ascii="Times New Roman" w:hAnsi="Times New Roman"/>
                <w:b/>
                <w:sz w:val="24"/>
                <w:szCs w:val="24"/>
                <w:lang w:val="ru-RU"/>
              </w:rPr>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39</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b/>
                <w:b/>
                <w:sz w:val="24"/>
                <w:szCs w:val="24"/>
                <w:lang w:val="ru-RU"/>
              </w:rPr>
            </w:pPr>
            <w:r>
              <w:rPr>
                <w:rFonts w:cs="Times New Roman" w:ascii="Times New Roman" w:hAnsi="Times New Roman"/>
                <w:b/>
                <w:sz w:val="24"/>
                <w:szCs w:val="24"/>
                <w:lang w:val="ru-RU"/>
              </w:rPr>
              <w:t>2</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both"/>
              <w:rPr>
                <w:rFonts w:ascii="Times New Roman" w:hAnsi="Times New Roman" w:cs="Times New Roman"/>
                <w:b/>
                <w:b/>
                <w:sz w:val="24"/>
                <w:szCs w:val="24"/>
                <w:lang w:val="ru-RU"/>
              </w:rPr>
            </w:pPr>
            <w:r>
              <w:rPr>
                <w:rFonts w:cs="Times New Roman" w:ascii="Times New Roman" w:hAnsi="Times New Roman"/>
                <w:b/>
                <w:sz w:val="24"/>
                <w:szCs w:val="24"/>
                <w:lang w:val="ru-RU"/>
              </w:rPr>
              <w:t>Правовое обеспечение развития земельных отношений в Приморском крае</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42</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b/>
                <w:b/>
                <w:sz w:val="24"/>
                <w:szCs w:val="24"/>
                <w:lang w:val="ru-RU"/>
              </w:rPr>
            </w:pPr>
            <w:r>
              <w:rPr>
                <w:rFonts w:cs="Times New Roman" w:ascii="Times New Roman" w:hAnsi="Times New Roman"/>
                <w:b/>
                <w:sz w:val="24"/>
                <w:szCs w:val="24"/>
                <w:lang w:val="ru-RU"/>
              </w:rPr>
              <w:t>3</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both"/>
              <w:rPr>
                <w:rFonts w:ascii="Times New Roman" w:hAnsi="Times New Roman" w:cs="Times New Roman"/>
                <w:b/>
                <w:b/>
                <w:sz w:val="24"/>
                <w:szCs w:val="24"/>
                <w:lang w:val="ru-RU"/>
              </w:rPr>
            </w:pPr>
            <w:r>
              <w:rPr>
                <w:rFonts w:cs="Times New Roman" w:ascii="Times New Roman" w:hAnsi="Times New Roman"/>
                <w:b/>
                <w:sz w:val="24"/>
                <w:szCs w:val="24"/>
                <w:lang w:val="ru-RU"/>
              </w:rPr>
              <w:t>Обеспечение управления земельными ресурсами в Приморском крае</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50</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b/>
                <w:b/>
                <w:sz w:val="24"/>
                <w:szCs w:val="24"/>
                <w:lang w:val="ru-RU"/>
              </w:rPr>
            </w:pPr>
            <w:r>
              <w:rPr>
                <w:rFonts w:cs="Times New Roman" w:ascii="Times New Roman" w:hAnsi="Times New Roman"/>
                <w:b/>
                <w:sz w:val="24"/>
                <w:szCs w:val="24"/>
                <w:lang w:val="ru-RU"/>
              </w:rPr>
              <w:t>3.1</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b/>
                <w:b/>
                <w:sz w:val="24"/>
                <w:szCs w:val="24"/>
              </w:rPr>
            </w:pPr>
            <w:r>
              <w:rPr>
                <w:rFonts w:cs="Times New Roman" w:ascii="Times New Roman" w:hAnsi="Times New Roman"/>
                <w:b/>
                <w:sz w:val="24"/>
                <w:szCs w:val="24"/>
              </w:rPr>
              <w:t>Государственный кадастр недвижимости</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50</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4"/>
                <w:lang w:val="ru-RU"/>
              </w:rPr>
            </w:pPr>
            <w:r>
              <w:rPr>
                <w:rFonts w:cs="Times New Roman" w:ascii="Times New Roman" w:hAnsi="Times New Roman"/>
                <w:sz w:val="24"/>
                <w:szCs w:val="24"/>
                <w:lang w:val="ru-RU"/>
              </w:rPr>
              <w:t>3.1.1</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Кадастровое деление территории кадастрового округа</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50</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3.1.2</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Организация ведения государственного кадастра недвижимости</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53</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4"/>
                <w:lang w:val="ru-RU"/>
              </w:rPr>
            </w:pPr>
            <w:r>
              <w:rPr>
                <w:rFonts w:cs="Times New Roman" w:ascii="Times New Roman" w:hAnsi="Times New Roman"/>
                <w:sz w:val="24"/>
                <w:szCs w:val="24"/>
                <w:lang w:val="ru-RU"/>
              </w:rPr>
              <w:t>3.1.3</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Проведение работ по верификации и нормализации баз данных государственного кадастра недвижимости в кадастровом округе</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58</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b/>
                <w:b/>
                <w:sz w:val="24"/>
                <w:szCs w:val="24"/>
                <w:lang w:val="ru-RU"/>
              </w:rPr>
            </w:pPr>
            <w:r>
              <w:rPr>
                <w:rFonts w:cs="Times New Roman" w:ascii="Times New Roman" w:hAnsi="Times New Roman"/>
                <w:b/>
                <w:sz w:val="24"/>
                <w:szCs w:val="24"/>
                <w:lang w:val="ru-RU"/>
              </w:rPr>
              <w:t>3.2</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b/>
                <w:b/>
                <w:sz w:val="24"/>
                <w:szCs w:val="24"/>
                <w:lang w:val="ru-RU"/>
              </w:rPr>
            </w:pPr>
            <w:r>
              <w:rPr>
                <w:rFonts w:cs="Times New Roman" w:ascii="Times New Roman" w:hAnsi="Times New Roman"/>
                <w:b/>
                <w:sz w:val="24"/>
                <w:szCs w:val="24"/>
                <w:lang w:val="ru-RU"/>
              </w:rPr>
              <w:t>Государственный мониторинг земель и землеустройство</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59</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3.2.1</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rPr>
            </w:pPr>
            <w:r>
              <w:rPr>
                <w:rFonts w:cs="Times New Roman" w:ascii="Times New Roman" w:hAnsi="Times New Roman"/>
                <w:sz w:val="24"/>
                <w:szCs w:val="24"/>
              </w:rPr>
              <w:t>Государственный мониторинг земель</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59</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3.2.1.1</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Выполнение работ по государственному мониторингу земель</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60</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3.2.1.2</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rPr>
            </w:pPr>
            <w:r>
              <w:rPr>
                <w:rFonts w:cs="Times New Roman" w:ascii="Times New Roman" w:hAnsi="Times New Roman"/>
                <w:sz w:val="24"/>
                <w:szCs w:val="24"/>
              </w:rPr>
              <w:t>Анализ качественного состояния земель</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61</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3.2.2</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rPr>
            </w:pPr>
            <w:r>
              <w:rPr>
                <w:rFonts w:cs="Times New Roman" w:ascii="Times New Roman" w:hAnsi="Times New Roman"/>
                <w:sz w:val="24"/>
                <w:szCs w:val="24"/>
              </w:rPr>
              <w:t>Землеустройство</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63</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4"/>
                <w:lang w:val="ru-RU"/>
              </w:rPr>
            </w:pPr>
            <w:r>
              <w:rPr>
                <w:rFonts w:cs="Times New Roman" w:ascii="Times New Roman" w:hAnsi="Times New Roman"/>
                <w:sz w:val="24"/>
                <w:szCs w:val="24"/>
                <w:lang w:val="ru-RU"/>
              </w:rPr>
              <w:t>3.2.2.1</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Проведение землеустройства, в том числе в соответствии с решениями федеральных органов государственной власти</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64</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4"/>
                <w:lang w:val="ru-RU"/>
              </w:rPr>
            </w:pPr>
            <w:r>
              <w:rPr>
                <w:rFonts w:cs="Times New Roman" w:ascii="Times New Roman" w:hAnsi="Times New Roman"/>
                <w:sz w:val="24"/>
                <w:szCs w:val="24"/>
                <w:lang w:val="ru-RU"/>
              </w:rPr>
              <w:t>3.2.2.2</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Создание и ведение государственного фонда данных, полученных в результате проведения землеустройства</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65</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sz w:val="24"/>
                <w:szCs w:val="24"/>
                <w:lang w:val="ru-RU"/>
              </w:rPr>
            </w:pPr>
            <w:r>
              <w:rPr>
                <w:rFonts w:cs="Times New Roman" w:ascii="Times New Roman" w:hAnsi="Times New Roman"/>
                <w:sz w:val="24"/>
                <w:szCs w:val="24"/>
                <w:lang w:val="ru-RU"/>
              </w:rPr>
              <w:t>3.2.2.3</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Контроль за проведением землеустройства, осуществление государственной экспертизы землеустроительной документации, исполнение обращений граждан и юридических лиц по вопросам проведения землеустройства</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68</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s="Times New Roman"/>
                <w:b/>
                <w:b/>
                <w:sz w:val="24"/>
                <w:szCs w:val="24"/>
                <w:lang w:val="ru-RU"/>
              </w:rPr>
            </w:pPr>
            <w:r>
              <w:rPr>
                <w:rFonts w:cs="Times New Roman" w:ascii="Times New Roman" w:hAnsi="Times New Roman"/>
                <w:b/>
                <w:sz w:val="24"/>
                <w:szCs w:val="24"/>
                <w:lang w:val="ru-RU"/>
              </w:rPr>
              <w:t>3.3</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b/>
                <w:b/>
                <w:sz w:val="24"/>
                <w:szCs w:val="24"/>
                <w:lang w:val="ru-RU"/>
              </w:rPr>
            </w:pPr>
            <w:r>
              <w:rPr>
                <w:rFonts w:cs="Times New Roman" w:ascii="Times New Roman" w:hAnsi="Times New Roman"/>
                <w:b/>
                <w:sz w:val="24"/>
                <w:szCs w:val="24"/>
              </w:rPr>
              <w:t xml:space="preserve">Государственный земельный </w:t>
            </w:r>
            <w:r>
              <w:rPr>
                <w:rFonts w:cs="Times New Roman" w:ascii="Times New Roman" w:hAnsi="Times New Roman"/>
                <w:b/>
                <w:sz w:val="24"/>
                <w:szCs w:val="24"/>
                <w:lang w:val="ru-RU"/>
              </w:rPr>
              <w:t>надзор</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69</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3.3.1</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Организация ведения государственного земельного надзора</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69</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3.3.2</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Результаты осуществления  государственного земельного надзора</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74</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3.3.3</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Взаимодействие с органами государственной  власти и органами местного самоуправления</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81</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3.3.4</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Взаимодействие с органами муниципального земельного контроля</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86</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b/>
                <w:b/>
                <w:sz w:val="24"/>
                <w:szCs w:val="24"/>
                <w:lang w:val="ru-RU"/>
              </w:rPr>
            </w:pPr>
            <w:r>
              <w:rPr>
                <w:rFonts w:cs="Times New Roman" w:ascii="Times New Roman" w:hAnsi="Times New Roman"/>
                <w:b/>
                <w:sz w:val="24"/>
                <w:szCs w:val="24"/>
                <w:lang w:val="ru-RU"/>
              </w:rPr>
              <w:t>3.4</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both"/>
              <w:rPr>
                <w:rFonts w:ascii="Times New Roman" w:hAnsi="Times New Roman" w:cs="Times New Roman"/>
                <w:b/>
                <w:b/>
                <w:sz w:val="24"/>
                <w:szCs w:val="24"/>
                <w:lang w:val="ru-RU"/>
              </w:rPr>
            </w:pPr>
            <w:r>
              <w:rPr>
                <w:rFonts w:cs="Times New Roman" w:ascii="Times New Roman" w:hAnsi="Times New Roman"/>
                <w:b/>
                <w:sz w:val="24"/>
                <w:szCs w:val="24"/>
                <w:lang w:val="ru-RU"/>
              </w:rPr>
              <w:t>Государственная кадастровая оценка земель в Приморском крае</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87</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3.4.1</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Сведения о проведении на территории Приморского края государственной кадастровой оценки земель</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87</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3.4.2</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Формирование перечней объектов недвижимости (земельных участков), подлежащих государственной кадастровой оценке</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114</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3.4.3</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Определение кадастровой стоимости вновь учтенных земельных участков, ранее учтенных земельных участков при включении сведений о них в сударственный кадастр недвижимости и земельных участков, в отношении которых произошло изменение их количественных и (или) качественных характеристик, влекущее за собой изменение их кадастровой стоимости</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115</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rPr>
                <w:rFonts w:ascii="Times New Roman" w:hAnsi="Times New Roman" w:cs="Times New Roman"/>
                <w:sz w:val="24"/>
                <w:szCs w:val="24"/>
                <w:lang w:val="ru-RU"/>
              </w:rPr>
            </w:pPr>
            <w:r>
              <w:rPr>
                <w:rFonts w:cs="Times New Roman" w:ascii="Times New Roman" w:hAnsi="Times New Roman"/>
                <w:sz w:val="24"/>
                <w:szCs w:val="24"/>
                <w:lang w:val="ru-RU"/>
              </w:rPr>
              <w:t>3.4.4</w:t>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Оспаривание результатов определения кадастровой стоимости земельных участков в судебном и досудебном порядке</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116</w:t>
            </w:r>
          </w:p>
        </w:tc>
      </w:tr>
      <w:tr>
        <w:trPr/>
        <w:tc>
          <w:tcPr>
            <w:tcW w:w="9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r>
          </w:p>
        </w:tc>
        <w:tc>
          <w:tcPr>
            <w:tcW w:w="746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Приложения</w:t>
            </w:r>
          </w:p>
        </w:tc>
        <w:tc>
          <w:tcPr>
            <w:tcW w:w="128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s="Times New Roman"/>
                <w:sz w:val="24"/>
                <w:szCs w:val="24"/>
                <w:lang w:val="ru-RU"/>
              </w:rPr>
            </w:pPr>
            <w:r>
              <w:rPr>
                <w:rFonts w:cs="Times New Roman" w:ascii="Times New Roman" w:hAnsi="Times New Roman"/>
                <w:sz w:val="24"/>
                <w:szCs w:val="24"/>
                <w:lang w:val="ru-RU"/>
              </w:rPr>
              <w:t>118</w:t>
            </w:r>
          </w:p>
        </w:tc>
      </w:tr>
    </w:tbl>
    <w:p>
      <w:pPr>
        <w:pStyle w:val="Xl53"/>
        <w:spacing w:beforeAutospacing="0" w:before="240" w:afterAutospacing="0" w:after="0"/>
        <w:rPr>
          <w:sz w:val="28"/>
          <w:szCs w:val="28"/>
        </w:rPr>
      </w:pPr>
      <w:r>
        <w:rPr>
          <w:sz w:val="28"/>
          <w:szCs w:val="28"/>
        </w:rPr>
      </w:r>
    </w:p>
    <w:p>
      <w:pPr>
        <w:pStyle w:val="Xl53"/>
        <w:spacing w:beforeAutospacing="0" w:before="240" w:afterAutospacing="0" w:after="0"/>
        <w:rPr>
          <w:sz w:val="28"/>
          <w:szCs w:val="28"/>
        </w:rPr>
      </w:pPr>
      <w:r>
        <w:rPr>
          <w:sz w:val="28"/>
          <w:szCs w:val="28"/>
        </w:rPr>
      </w:r>
    </w:p>
    <w:p>
      <w:pPr>
        <w:pStyle w:val="Xl53"/>
        <w:spacing w:beforeAutospacing="0" w:before="240" w:afterAutospacing="0" w:after="0"/>
        <w:rPr>
          <w:sz w:val="28"/>
          <w:szCs w:val="28"/>
          <w:lang w:val="ru-RU"/>
        </w:rPr>
      </w:pPr>
      <w:r>
        <w:rPr>
          <w:sz w:val="28"/>
          <w:szCs w:val="28"/>
          <w:lang w:val="ru-RU"/>
        </w:rPr>
        <w:t>© Управление Росреестра по Приморскому краю, 2017 г.</w:t>
      </w:r>
    </w:p>
    <w:p>
      <w:pPr>
        <w:pStyle w:val="NormalWeb"/>
        <w:spacing w:lineRule="auto" w:line="240"/>
        <w:jc w:val="center"/>
        <w:rPr>
          <w:rFonts w:ascii="Times New Roman" w:hAnsi="Times New Roman" w:cs="Times New Roman"/>
          <w:b/>
          <w:b/>
          <w:sz w:val="32"/>
          <w:szCs w:val="32"/>
          <w:lang w:val="ru-RU"/>
        </w:rPr>
      </w:pPr>
      <w:r>
        <w:rPr>
          <w:rFonts w:cs="Times New Roman" w:ascii="Times New Roman" w:hAnsi="Times New Roman"/>
          <w:b/>
          <w:sz w:val="32"/>
          <w:szCs w:val="32"/>
          <w:lang w:val="ru-RU"/>
        </w:rPr>
        <w:t>ПРЕДИСЛОВИЕ</w:t>
      </w:r>
    </w:p>
    <w:p>
      <w:pPr>
        <w:pStyle w:val="Normal"/>
        <w:spacing w:lineRule="auto" w:line="240" w:before="0" w:after="0"/>
        <w:ind w:firstLine="709"/>
        <w:jc w:val="both"/>
        <w:rPr>
          <w:rFonts w:ascii="Times New Roman" w:hAnsi="Times New Roman" w:eastAsia="Times New Roman" w:cs="Times New Roman"/>
          <w:sz w:val="28"/>
          <w:szCs w:val="28"/>
        </w:rPr>
      </w:pPr>
      <w:r>
        <w:drawing>
          <wp:anchor behindDoc="0" distT="0" distB="0" distL="114300" distR="114300" simplePos="0" locked="0" layoutInCell="0" allowOverlap="1" relativeHeight="14">
            <wp:simplePos x="0" y="0"/>
            <wp:positionH relativeFrom="margin">
              <wp:posOffset>-81280</wp:posOffset>
            </wp:positionH>
            <wp:positionV relativeFrom="margin">
              <wp:posOffset>422910</wp:posOffset>
            </wp:positionV>
            <wp:extent cx="1905000" cy="2266950"/>
            <wp:effectExtent l="0" t="0" r="0" b="0"/>
            <wp:wrapSquare wrapText="bothSides"/>
            <wp:docPr id="2" name="Рисунок 6" descr="https://upload.wikimedia.org/wikipedia/commons/thumb/9/95/Full_coat_of_arms_of_Primorsky_Krai.svg/200px-Full_coat_of_arms_of_Primorsky_Krai.svg.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https://upload.wikimedia.org/wikipedia/commons/thumb/9/95/Full_coat_of_arms_of_Primorsky_Krai.svg/200px-Full_coat_of_arms_of_Primorsky_Krai.svg.png">
                      <a:hlinkClick r:id="rId3"/>
                    </pic:cNvPr>
                    <pic:cNvPicPr>
                      <a:picLocks noChangeAspect="1" noChangeArrowheads="1"/>
                    </pic:cNvPicPr>
                  </pic:nvPicPr>
                  <pic:blipFill>
                    <a:blip r:embed="rId2"/>
                    <a:stretch>
                      <a:fillRect/>
                    </a:stretch>
                  </pic:blipFill>
                  <pic:spPr bwMode="auto">
                    <a:xfrm>
                      <a:off x="0" y="0"/>
                      <a:ext cx="1905000" cy="2266950"/>
                    </a:xfrm>
                    <a:prstGeom prst="rect">
                      <a:avLst/>
                    </a:prstGeom>
                  </pic:spPr>
                </pic:pic>
              </a:graphicData>
            </a:graphic>
          </wp:anchor>
        </w:drawing>
      </w:r>
      <w:r>
        <w:rPr>
          <w:rFonts w:eastAsia="Times New Roman" w:cs="Times New Roman" w:ascii="Times New Roman" w:hAnsi="Times New Roman"/>
          <w:iCs/>
          <w:sz w:val="28"/>
          <w:szCs w:val="28"/>
        </w:rPr>
        <w:t>Приморский край</w:t>
      </w:r>
      <w:r>
        <w:rPr>
          <w:rFonts w:eastAsia="Times New Roman" w:cs="Times New Roman" w:ascii="Times New Roman" w:hAnsi="Times New Roman"/>
          <w:sz w:val="28"/>
          <w:szCs w:val="28"/>
        </w:rPr>
        <w:t xml:space="preserve"> был </w:t>
      </w:r>
      <w:r>
        <w:rPr>
          <w:rFonts w:eastAsia="Times New Roman" w:cs="Times New Roman" w:ascii="Times New Roman" w:hAnsi="Times New Roman"/>
          <w:iCs/>
          <w:sz w:val="28"/>
          <w:szCs w:val="28"/>
        </w:rPr>
        <w:t>образован</w:t>
      </w:r>
      <w:r>
        <w:rPr>
          <w:rFonts w:eastAsia="Times New Roman" w:cs="Times New Roman" w:ascii="Times New Roman" w:hAnsi="Times New Roman"/>
          <w:sz w:val="28"/>
          <w:szCs w:val="28"/>
        </w:rPr>
        <w:t xml:space="preserve"> </w:t>
      </w:r>
      <w:hyperlink r:id="rId4" w:tgtFrame="20 октября">
        <w:r>
          <w:rPr>
            <w:rFonts w:eastAsia="Times New Roman" w:cs="Times New Roman" w:ascii="Times New Roman" w:hAnsi="Times New Roman"/>
            <w:sz w:val="28"/>
            <w:szCs w:val="28"/>
          </w:rPr>
          <w:t>20 октября</w:t>
        </w:r>
      </w:hyperlink>
      <w:r>
        <w:rPr>
          <w:rFonts w:eastAsia="Times New Roman" w:cs="Times New Roman" w:ascii="Times New Roman" w:hAnsi="Times New Roman"/>
          <w:sz w:val="28"/>
          <w:szCs w:val="28"/>
        </w:rPr>
        <w:t xml:space="preserve"> </w:t>
      </w:r>
      <w:hyperlink r:id="rId5" w:tgtFrame="1938 год">
        <w:r>
          <w:rPr>
            <w:rFonts w:eastAsia="Times New Roman" w:cs="Times New Roman" w:ascii="Times New Roman" w:hAnsi="Times New Roman"/>
            <w:sz w:val="28"/>
            <w:szCs w:val="28"/>
          </w:rPr>
          <w:t>1938 года</w:t>
        </w:r>
      </w:hyperlink>
      <w:r>
        <w:rPr>
          <w:rFonts w:eastAsia="Times New Roman" w:cs="Times New Roman" w:ascii="Times New Roman" w:hAnsi="Times New Roman"/>
          <w:sz w:val="28"/>
          <w:szCs w:val="28"/>
        </w:rPr>
        <w:t xml:space="preserve"> указом Президиума Верховного Совета </w:t>
      </w:r>
      <w:hyperlink r:id="rId6" w:tgtFrame="СССР">
        <w:r>
          <w:rPr>
            <w:rFonts w:eastAsia="Times New Roman" w:cs="Times New Roman" w:ascii="Times New Roman" w:hAnsi="Times New Roman"/>
            <w:sz w:val="28"/>
            <w:szCs w:val="28"/>
          </w:rPr>
          <w:t>СССР</w:t>
        </w:r>
      </w:hyperlink>
      <w:r>
        <w:rPr>
          <w:rFonts w:eastAsia="Times New Roman" w:cs="Times New Roman" w:ascii="Times New Roman" w:hAnsi="Times New Roman"/>
          <w:sz w:val="28"/>
          <w:szCs w:val="28"/>
        </w:rPr>
        <w:t xml:space="preserve"> «О разделении </w:t>
      </w:r>
      <w:hyperlink r:id="rId7" w:tgtFrame="Дальневосточный край">
        <w:r>
          <w:rPr>
            <w:rFonts w:eastAsia="Times New Roman" w:cs="Times New Roman" w:ascii="Times New Roman" w:hAnsi="Times New Roman"/>
            <w:sz w:val="28"/>
            <w:szCs w:val="28"/>
          </w:rPr>
          <w:t>Дальневосточного края</w:t>
        </w:r>
      </w:hyperlink>
      <w:r>
        <w:rPr>
          <w:rFonts w:eastAsia="Times New Roman" w:cs="Times New Roman" w:ascii="Times New Roman" w:hAnsi="Times New Roman"/>
          <w:sz w:val="28"/>
          <w:szCs w:val="28"/>
        </w:rPr>
        <w:t xml:space="preserve"> на Хабаровский и Приморский край». А</w:t>
      </w:r>
      <w:r>
        <w:rPr>
          <w:rFonts w:eastAsia="Times New Roman" w:cs="Times New Roman" w:ascii="Times New Roman" w:hAnsi="Times New Roman"/>
          <w:iCs/>
          <w:sz w:val="28"/>
          <w:szCs w:val="28"/>
        </w:rPr>
        <w:t>дминистративный центр</w:t>
      </w:r>
      <w:r>
        <w:rPr>
          <w:rFonts w:eastAsia="Times New Roman" w:cs="Times New Roman" w:ascii="Times New Roman" w:hAnsi="Times New Roman"/>
          <w:sz w:val="28"/>
          <w:szCs w:val="28"/>
        </w:rPr>
        <w:t xml:space="preserve"> — город </w:t>
      </w:r>
      <w:hyperlink r:id="rId8" w:tgtFrame="Владивосток">
        <w:r>
          <w:rPr>
            <w:rFonts w:eastAsia="Times New Roman" w:cs="Times New Roman" w:ascii="Times New Roman" w:hAnsi="Times New Roman"/>
            <w:sz w:val="28"/>
            <w:szCs w:val="28"/>
          </w:rPr>
          <w:t>Владивосток</w:t>
        </w:r>
      </w:hyperlink>
      <w:r>
        <w:rPr>
          <w:rFonts w:eastAsia="Times New Roman" w:cs="Times New Roman" w:ascii="Times New Roman" w:hAnsi="Times New Roman"/>
          <w:sz w:val="28"/>
          <w:szCs w:val="28"/>
        </w:rPr>
        <w:t>.</w:t>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iCs/>
          <w:sz w:val="28"/>
          <w:szCs w:val="28"/>
        </w:rPr>
        <w:t>Площадь</w:t>
      </w:r>
      <w:r>
        <w:rPr>
          <w:rFonts w:eastAsia="Times New Roman" w:cs="Times New Roman" w:ascii="Times New Roman" w:hAnsi="Times New Roman"/>
          <w:sz w:val="28"/>
          <w:szCs w:val="28"/>
        </w:rPr>
        <w:t> — 164 673 км².</w:t>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t>Н</w:t>
      </w:r>
      <w:r>
        <w:rPr>
          <w:rFonts w:eastAsia="Times New Roman" w:cs="Times New Roman" w:ascii="Times New Roman" w:hAnsi="Times New Roman"/>
          <w:iCs/>
          <w:sz w:val="28"/>
          <w:szCs w:val="28"/>
        </w:rPr>
        <w:t>аселение</w:t>
      </w:r>
      <w:r>
        <w:rPr>
          <w:rFonts w:eastAsia="Times New Roman" w:cs="Times New Roman" w:ascii="Times New Roman" w:hAnsi="Times New Roman"/>
          <w:sz w:val="28"/>
          <w:szCs w:val="28"/>
        </w:rPr>
        <w:t> — 1 933,3 тыс. чел. на начало 2016года.</w:t>
      </w:r>
    </w:p>
    <w:p>
      <w:pPr>
        <w:pStyle w:val="Normal"/>
        <w:spacing w:lineRule="auto" w:line="24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Расположен на юге Дальнего Востока, в юго-восточной части </w:t>
      </w:r>
      <w:hyperlink r:id="rId9" w:tgtFrame="Россия">
        <w:r>
          <w:rPr>
            <w:rFonts w:eastAsia="Times New Roman" w:cs="Times New Roman" w:ascii="Times New Roman" w:hAnsi="Times New Roman"/>
            <w:sz w:val="28"/>
            <w:szCs w:val="28"/>
          </w:rPr>
          <w:t>Российской Федерации</w:t>
        </w:r>
      </w:hyperlink>
      <w:r>
        <w:rPr>
          <w:rFonts w:eastAsia="Times New Roman" w:cs="Times New Roman" w:ascii="Times New Roman" w:hAnsi="Times New Roman"/>
          <w:sz w:val="28"/>
          <w:szCs w:val="28"/>
        </w:rPr>
        <w:t xml:space="preserve">. На севере граничит с </w:t>
      </w:r>
      <w:hyperlink r:id="rId10" w:tgtFrame="Хабаровский край">
        <w:r>
          <w:rPr>
            <w:rFonts w:eastAsia="Times New Roman" w:cs="Times New Roman" w:ascii="Times New Roman" w:hAnsi="Times New Roman"/>
            <w:sz w:val="28"/>
            <w:szCs w:val="28"/>
          </w:rPr>
          <w:t>Хабаровским краем</w:t>
        </w:r>
      </w:hyperlink>
      <w:r>
        <w:rPr>
          <w:rFonts w:eastAsia="Times New Roman" w:cs="Times New Roman" w:ascii="Times New Roman" w:hAnsi="Times New Roman"/>
          <w:sz w:val="28"/>
          <w:szCs w:val="28"/>
        </w:rPr>
        <w:t xml:space="preserve">, на западе с </w:t>
      </w:r>
      <w:hyperlink r:id="rId11" w:tgtFrame="Китай">
        <w:r>
          <w:rPr>
            <w:rFonts w:eastAsia="Times New Roman" w:cs="Times New Roman" w:ascii="Times New Roman" w:hAnsi="Times New Roman"/>
            <w:sz w:val="28"/>
            <w:szCs w:val="28"/>
          </w:rPr>
          <w:t>КНР</w:t>
        </w:r>
      </w:hyperlink>
      <w:r>
        <w:rPr>
          <w:rFonts w:eastAsia="Times New Roman" w:cs="Times New Roman" w:ascii="Times New Roman" w:hAnsi="Times New Roman"/>
          <w:sz w:val="28"/>
          <w:szCs w:val="28"/>
        </w:rPr>
        <w:t xml:space="preserve">, на юго-западе с </w:t>
      </w:r>
      <w:hyperlink r:id="rId12" w:tgtFrame="Корейская Народно-Демократическая Республика">
        <w:r>
          <w:rPr>
            <w:rFonts w:eastAsia="Times New Roman" w:cs="Times New Roman" w:ascii="Times New Roman" w:hAnsi="Times New Roman"/>
            <w:sz w:val="28"/>
            <w:szCs w:val="28"/>
          </w:rPr>
          <w:t>КНДР</w:t>
        </w:r>
      </w:hyperlink>
      <w:r>
        <w:rPr>
          <w:rFonts w:eastAsia="Times New Roman" w:cs="Times New Roman" w:ascii="Times New Roman" w:hAnsi="Times New Roman"/>
          <w:sz w:val="28"/>
          <w:szCs w:val="28"/>
        </w:rPr>
        <w:t xml:space="preserve">, с юга и востока омывается </w:t>
      </w:r>
      <w:hyperlink r:id="rId13" w:tgtFrame="Японское море">
        <w:r>
          <w:rPr>
            <w:rFonts w:eastAsia="Times New Roman" w:cs="Times New Roman" w:ascii="Times New Roman" w:hAnsi="Times New Roman"/>
            <w:sz w:val="28"/>
            <w:szCs w:val="28"/>
          </w:rPr>
          <w:t>Японским морем</w:t>
        </w:r>
      </w:hyperlink>
      <w:r>
        <w:rPr>
          <w:rFonts w:eastAsia="Times New Roman" w:cs="Times New Roman" w:ascii="Times New Roman" w:hAnsi="Times New Roman"/>
          <w:sz w:val="28"/>
          <w:szCs w:val="28"/>
        </w:rPr>
        <w:t xml:space="preserve">. Крупный залив — </w:t>
      </w:r>
      <w:hyperlink r:id="rId14" w:tgtFrame="Залив Петра Великого">
        <w:r>
          <w:rPr>
            <w:rFonts w:eastAsia="Times New Roman" w:cs="Times New Roman" w:ascii="Times New Roman" w:hAnsi="Times New Roman"/>
            <w:sz w:val="28"/>
            <w:szCs w:val="28"/>
          </w:rPr>
          <w:t>Петра Великого</w:t>
        </w:r>
      </w:hyperlink>
      <w:r>
        <w:rPr>
          <w:rFonts w:eastAsia="Times New Roman" w:cs="Times New Roman" w:ascii="Times New Roman" w:hAnsi="Times New Roman"/>
          <w:sz w:val="28"/>
          <w:szCs w:val="28"/>
        </w:rPr>
        <w:t xml:space="preserve">. Берега залива сильно изрезаны и образуют внутренние заливы: </w:t>
      </w:r>
      <w:hyperlink r:id="rId15" w:tgtFrame="Амурский залив">
        <w:r>
          <w:rPr>
            <w:rFonts w:eastAsia="Times New Roman" w:cs="Times New Roman" w:ascii="Times New Roman" w:hAnsi="Times New Roman"/>
            <w:sz w:val="28"/>
            <w:szCs w:val="28"/>
          </w:rPr>
          <w:t>Амурский</w:t>
        </w:r>
      </w:hyperlink>
      <w:r>
        <w:rPr>
          <w:rFonts w:eastAsia="Times New Roman" w:cs="Times New Roman" w:ascii="Times New Roman" w:hAnsi="Times New Roman"/>
          <w:sz w:val="28"/>
          <w:szCs w:val="28"/>
        </w:rPr>
        <w:t xml:space="preserve">, </w:t>
      </w:r>
      <w:hyperlink r:id="rId16" w:tgtFrame="Уссурийский залив">
        <w:r>
          <w:rPr>
            <w:rFonts w:eastAsia="Times New Roman" w:cs="Times New Roman" w:ascii="Times New Roman" w:hAnsi="Times New Roman"/>
            <w:sz w:val="28"/>
            <w:szCs w:val="28"/>
          </w:rPr>
          <w:t>Уссурийский</w:t>
        </w:r>
      </w:hyperlink>
      <w:r>
        <w:rPr>
          <w:rFonts w:eastAsia="Times New Roman" w:cs="Times New Roman" w:ascii="Times New Roman" w:hAnsi="Times New Roman"/>
          <w:sz w:val="28"/>
          <w:szCs w:val="28"/>
        </w:rPr>
        <w:t xml:space="preserve">, </w:t>
      </w:r>
      <w:hyperlink r:id="rId17" w:tgtFrame="Залив Посьета">
        <w:r>
          <w:rPr>
            <w:rFonts w:eastAsia="Times New Roman" w:cs="Times New Roman" w:ascii="Times New Roman" w:hAnsi="Times New Roman"/>
            <w:sz w:val="28"/>
            <w:szCs w:val="28"/>
          </w:rPr>
          <w:t>Посьета</w:t>
        </w:r>
      </w:hyperlink>
      <w:r>
        <w:rPr>
          <w:rFonts w:eastAsia="Times New Roman" w:cs="Times New Roman" w:ascii="Times New Roman" w:hAnsi="Times New Roman"/>
          <w:sz w:val="28"/>
          <w:szCs w:val="28"/>
        </w:rPr>
        <w:t xml:space="preserve">, Стрелок, </w:t>
      </w:r>
      <w:hyperlink r:id="rId18" w:tgtFrame="Восток (залив)">
        <w:r>
          <w:rPr>
            <w:rFonts w:eastAsia="Times New Roman" w:cs="Times New Roman" w:ascii="Times New Roman" w:hAnsi="Times New Roman"/>
            <w:sz w:val="28"/>
            <w:szCs w:val="28"/>
          </w:rPr>
          <w:t>Восток</w:t>
        </w:r>
      </w:hyperlink>
      <w:r>
        <w:rPr>
          <w:rFonts w:eastAsia="Times New Roman" w:cs="Times New Roman" w:ascii="Times New Roman" w:hAnsi="Times New Roman"/>
          <w:sz w:val="28"/>
          <w:szCs w:val="28"/>
        </w:rPr>
        <w:t xml:space="preserve">. Максимальная протяжённость края (от устья </w:t>
      </w:r>
      <w:hyperlink r:id="rId19" w:tgtFrame="Туманная (река)">
        <w:r>
          <w:rPr>
            <w:rFonts w:eastAsia="Times New Roman" w:cs="Times New Roman" w:ascii="Times New Roman" w:hAnsi="Times New Roman"/>
            <w:sz w:val="28"/>
            <w:szCs w:val="28"/>
          </w:rPr>
          <w:t>реки Туманная</w:t>
        </w:r>
      </w:hyperlink>
      <w:r>
        <w:rPr>
          <w:rFonts w:eastAsia="Times New Roman" w:cs="Times New Roman" w:ascii="Times New Roman" w:hAnsi="Times New Roman"/>
          <w:sz w:val="28"/>
          <w:szCs w:val="28"/>
        </w:rPr>
        <w:t xml:space="preserve"> до истоков </w:t>
      </w:r>
      <w:hyperlink r:id="rId20" w:tgtFrame="Самарга (река)">
        <w:r>
          <w:rPr>
            <w:rFonts w:eastAsia="Times New Roman" w:cs="Times New Roman" w:ascii="Times New Roman" w:hAnsi="Times New Roman"/>
            <w:sz w:val="28"/>
            <w:szCs w:val="28"/>
          </w:rPr>
          <w:t>реки Самарга</w:t>
        </w:r>
      </w:hyperlink>
      <w:r>
        <w:rPr>
          <w:rFonts w:eastAsia="Times New Roman" w:cs="Times New Roman" w:ascii="Times New Roman" w:hAnsi="Times New Roman"/>
          <w:sz w:val="28"/>
          <w:szCs w:val="28"/>
        </w:rPr>
        <w:t>) около 900 км. Наибольшая ширина (от долины реки Уссури до побережья Японского моря) около 280 км.</w:t>
      </w:r>
    </w:p>
    <w:p>
      <w:pPr>
        <w:pStyle w:val="Normal"/>
        <w:spacing w:lineRule="auto" w:line="24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Общая протяжённость границ края порядка 3000 км, из них морские около 1500 км. </w:t>
      </w:r>
    </w:p>
    <w:p>
      <w:pPr>
        <w:pStyle w:val="Normal"/>
        <w:spacing w:lineRule="auto" w:line="24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Центральную и восточную части края занимают горы </w:t>
      </w:r>
      <w:hyperlink r:id="rId21" w:tgtFrame="Сихотэ-Алинь">
        <w:r>
          <w:rPr>
            <w:rFonts w:eastAsia="Times New Roman" w:cs="Times New Roman" w:ascii="Times New Roman" w:hAnsi="Times New Roman"/>
            <w:sz w:val="28"/>
            <w:szCs w:val="28"/>
          </w:rPr>
          <w:t>Сихотэ-Алинь</w:t>
        </w:r>
      </w:hyperlink>
      <w:r>
        <w:rPr>
          <w:rFonts w:eastAsia="Times New Roman" w:cs="Times New Roman" w:ascii="Times New Roman" w:hAnsi="Times New Roman"/>
          <w:sz w:val="28"/>
          <w:szCs w:val="28"/>
        </w:rPr>
        <w:t xml:space="preserve">, на западе — </w:t>
      </w:r>
      <w:hyperlink r:id="rId22" w:tgtFrame="Приханкайская низменность">
        <w:r>
          <w:rPr>
            <w:rFonts w:eastAsia="Times New Roman" w:cs="Times New Roman" w:ascii="Times New Roman" w:hAnsi="Times New Roman"/>
            <w:sz w:val="28"/>
            <w:szCs w:val="28"/>
          </w:rPr>
          <w:t>Уссурийская и Приханкайская низменности</w:t>
        </w:r>
      </w:hyperlink>
      <w:r>
        <w:rPr>
          <w:rFonts w:eastAsia="Times New Roman" w:cs="Times New Roman" w:ascii="Times New Roman" w:hAnsi="Times New Roman"/>
          <w:sz w:val="28"/>
          <w:szCs w:val="28"/>
        </w:rPr>
        <w:t xml:space="preserve">. Самой высокой вершиной края является </w:t>
      </w:r>
      <w:hyperlink r:id="rId23" w:tgtFrame="Аник (гора)">
        <w:r>
          <w:rPr>
            <w:rFonts w:eastAsia="Times New Roman" w:cs="Times New Roman" w:ascii="Times New Roman" w:hAnsi="Times New Roman"/>
            <w:sz w:val="28"/>
            <w:szCs w:val="28"/>
          </w:rPr>
          <w:t>гора Аник</w:t>
        </w:r>
      </w:hyperlink>
      <w:r>
        <w:rPr>
          <w:rFonts w:eastAsia="Times New Roman" w:cs="Times New Roman" w:ascii="Times New Roman" w:hAnsi="Times New Roman"/>
          <w:sz w:val="28"/>
          <w:szCs w:val="28"/>
        </w:rPr>
        <w:t xml:space="preserve"> высотой 1933 метра, расположенная на северо-востоке края у границы с Хабаровским краем. Крупные острова: </w:t>
      </w:r>
      <w:hyperlink r:id="rId24" w:tgtFrame="Русский (остров, Приморский край)">
        <w:r>
          <w:rPr>
            <w:rFonts w:eastAsia="Times New Roman" w:cs="Times New Roman" w:ascii="Times New Roman" w:hAnsi="Times New Roman"/>
            <w:sz w:val="28"/>
            <w:szCs w:val="28"/>
          </w:rPr>
          <w:t>Русский</w:t>
        </w:r>
      </w:hyperlink>
      <w:r>
        <w:rPr>
          <w:rFonts w:eastAsia="Times New Roman" w:cs="Times New Roman" w:ascii="Times New Roman" w:hAnsi="Times New Roman"/>
          <w:sz w:val="28"/>
          <w:szCs w:val="28"/>
        </w:rPr>
        <w:t xml:space="preserve">, </w:t>
      </w:r>
      <w:hyperlink r:id="rId25" w:tgtFrame="Остров Путятина">
        <w:r>
          <w:rPr>
            <w:rFonts w:eastAsia="Times New Roman" w:cs="Times New Roman" w:ascii="Times New Roman" w:hAnsi="Times New Roman"/>
            <w:sz w:val="28"/>
            <w:szCs w:val="28"/>
          </w:rPr>
          <w:t>Путятина</w:t>
        </w:r>
      </w:hyperlink>
      <w:r>
        <w:rPr>
          <w:rFonts w:eastAsia="Times New Roman" w:cs="Times New Roman" w:ascii="Times New Roman" w:hAnsi="Times New Roman"/>
          <w:sz w:val="28"/>
          <w:szCs w:val="28"/>
        </w:rPr>
        <w:t xml:space="preserve">, </w:t>
      </w:r>
      <w:hyperlink r:id="rId26" w:tgtFrame="Аскольд (остров)">
        <w:r>
          <w:rPr>
            <w:rFonts w:eastAsia="Times New Roman" w:cs="Times New Roman" w:ascii="Times New Roman" w:hAnsi="Times New Roman"/>
            <w:sz w:val="28"/>
            <w:szCs w:val="28"/>
          </w:rPr>
          <w:t>Аскольд</w:t>
        </w:r>
      </w:hyperlink>
      <w:r>
        <w:rPr>
          <w:rFonts w:eastAsia="Times New Roman" w:cs="Times New Roman" w:ascii="Times New Roman" w:hAnsi="Times New Roman"/>
          <w:sz w:val="28"/>
          <w:szCs w:val="28"/>
        </w:rPr>
        <w:t xml:space="preserve">, </w:t>
      </w:r>
      <w:hyperlink r:id="rId27" w:tgtFrame="Остров Попова">
        <w:r>
          <w:rPr>
            <w:rFonts w:eastAsia="Times New Roman" w:cs="Times New Roman" w:ascii="Times New Roman" w:hAnsi="Times New Roman"/>
            <w:sz w:val="28"/>
            <w:szCs w:val="28"/>
          </w:rPr>
          <w:t>Попова</w:t>
        </w:r>
      </w:hyperlink>
      <w:r>
        <w:rPr>
          <w:rFonts w:eastAsia="Times New Roman" w:cs="Times New Roman" w:ascii="Times New Roman" w:hAnsi="Times New Roman"/>
          <w:sz w:val="28"/>
          <w:szCs w:val="28"/>
        </w:rPr>
        <w:t xml:space="preserve">, </w:t>
      </w:r>
      <w:hyperlink r:id="rId28" w:tgtFrame="Остров Рикорда">
        <w:r>
          <w:rPr>
            <w:rFonts w:eastAsia="Times New Roman" w:cs="Times New Roman" w:ascii="Times New Roman" w:hAnsi="Times New Roman"/>
            <w:sz w:val="28"/>
            <w:szCs w:val="28"/>
          </w:rPr>
          <w:t>Рикорда</w:t>
        </w:r>
      </w:hyperlink>
      <w:r>
        <w:rPr>
          <w:rFonts w:eastAsia="Times New Roman" w:cs="Times New Roman" w:ascii="Times New Roman" w:hAnsi="Times New Roman"/>
          <w:sz w:val="28"/>
          <w:szCs w:val="28"/>
        </w:rPr>
        <w:t xml:space="preserve">, </w:t>
      </w:r>
      <w:hyperlink r:id="rId29" w:tgtFrame="Рейнеке (остров, Японское море)">
        <w:r>
          <w:rPr>
            <w:rFonts w:eastAsia="Times New Roman" w:cs="Times New Roman" w:ascii="Times New Roman" w:hAnsi="Times New Roman"/>
            <w:sz w:val="28"/>
            <w:szCs w:val="28"/>
          </w:rPr>
          <w:t>Рейнеке</w:t>
        </w:r>
      </w:hyperlink>
      <w:r>
        <w:rPr>
          <w:rFonts w:eastAsia="Times New Roman" w:cs="Times New Roman" w:ascii="Times New Roman" w:hAnsi="Times New Roman"/>
          <w:sz w:val="28"/>
          <w:szCs w:val="28"/>
        </w:rPr>
        <w:t xml:space="preserve">, </w:t>
      </w:r>
      <w:hyperlink r:id="rId30" w:tgtFrame="Большой Пелис">
        <w:r>
          <w:rPr>
            <w:rFonts w:eastAsia="Times New Roman" w:cs="Times New Roman" w:ascii="Times New Roman" w:hAnsi="Times New Roman"/>
            <w:sz w:val="28"/>
            <w:szCs w:val="28"/>
          </w:rPr>
          <w:t>Большой Пелис</w:t>
        </w:r>
      </w:hyperlink>
      <w:r>
        <w:rPr>
          <w:rFonts w:eastAsia="Times New Roman" w:cs="Times New Roman" w:ascii="Times New Roman" w:hAnsi="Times New Roman"/>
          <w:sz w:val="28"/>
          <w:szCs w:val="28"/>
        </w:rPr>
        <w:t>.</w:t>
      </w:r>
    </w:p>
    <w:p>
      <w:pPr>
        <w:pStyle w:val="Normal"/>
        <w:spacing w:lineRule="auto" w:line="24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На юго-западе находится крупное озеро </w:t>
      </w:r>
      <w:hyperlink r:id="rId31" w:tgtFrame="Ханка (озеро)">
        <w:r>
          <w:rPr>
            <w:rFonts w:eastAsia="Times New Roman" w:cs="Times New Roman" w:ascii="Times New Roman" w:hAnsi="Times New Roman"/>
            <w:sz w:val="28"/>
            <w:szCs w:val="28"/>
          </w:rPr>
          <w:t>Ханка</w:t>
        </w:r>
      </w:hyperlink>
      <w:r>
        <w:rPr>
          <w:rFonts w:eastAsia="Times New Roman" w:cs="Times New Roman" w:ascii="Times New Roman" w:hAnsi="Times New Roman"/>
          <w:sz w:val="28"/>
          <w:szCs w:val="28"/>
        </w:rPr>
        <w:t xml:space="preserve">, по нему проходит граница с Китаем. Крупнейшей рекой края является </w:t>
      </w:r>
      <w:hyperlink r:id="rId32" w:tgtFrame="Уссури">
        <w:r>
          <w:rPr>
            <w:rFonts w:eastAsia="Times New Roman" w:cs="Times New Roman" w:ascii="Times New Roman" w:hAnsi="Times New Roman"/>
            <w:sz w:val="28"/>
            <w:szCs w:val="28"/>
          </w:rPr>
          <w:t>Уссури</w:t>
        </w:r>
      </w:hyperlink>
      <w:r>
        <w:rPr>
          <w:rFonts w:eastAsia="Times New Roman" w:cs="Times New Roman" w:ascii="Times New Roman" w:hAnsi="Times New Roman"/>
          <w:sz w:val="28"/>
          <w:szCs w:val="28"/>
        </w:rPr>
        <w:t xml:space="preserve">, истоки реки Уссури находятся на склонах горы </w:t>
      </w:r>
      <w:hyperlink r:id="rId33" w:tgtFrame="Снежная (гора, Приморский край)">
        <w:r>
          <w:rPr>
            <w:rFonts w:eastAsia="Times New Roman" w:cs="Times New Roman" w:ascii="Times New Roman" w:hAnsi="Times New Roman"/>
            <w:sz w:val="28"/>
            <w:szCs w:val="28"/>
          </w:rPr>
          <w:t>Снежная</w:t>
        </w:r>
      </w:hyperlink>
      <w:r>
        <w:rPr>
          <w:rFonts w:eastAsia="Times New Roman" w:cs="Times New Roman" w:ascii="Times New Roman" w:hAnsi="Times New Roman"/>
          <w:sz w:val="28"/>
          <w:szCs w:val="28"/>
        </w:rPr>
        <w:t xml:space="preserve">, к северо-востоку от горы </w:t>
      </w:r>
      <w:hyperlink r:id="rId34" w:tgtFrame="Облачная">
        <w:r>
          <w:rPr>
            <w:rFonts w:eastAsia="Times New Roman" w:cs="Times New Roman" w:ascii="Times New Roman" w:hAnsi="Times New Roman"/>
            <w:sz w:val="28"/>
            <w:szCs w:val="28"/>
          </w:rPr>
          <w:t>Облачная</w:t>
        </w:r>
      </w:hyperlink>
      <w:r>
        <w:rPr>
          <w:rFonts w:eastAsia="Times New Roman" w:cs="Times New Roman" w:ascii="Times New Roman" w:hAnsi="Times New Roman"/>
          <w:sz w:val="28"/>
          <w:szCs w:val="28"/>
        </w:rPr>
        <w:t>.</w:t>
      </w:r>
    </w:p>
    <w:p>
      <w:pPr>
        <w:pStyle w:val="Normal"/>
        <w:spacing w:lineRule="auto" w:line="24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Климат </w:t>
      </w:r>
      <w:hyperlink r:id="rId35" w:tgtFrame="Умеренный климат">
        <w:r>
          <w:rPr>
            <w:rFonts w:eastAsia="Times New Roman" w:cs="Times New Roman" w:ascii="Times New Roman" w:hAnsi="Times New Roman"/>
            <w:sz w:val="28"/>
            <w:szCs w:val="28"/>
          </w:rPr>
          <w:t>умеренный</w:t>
        </w:r>
      </w:hyperlink>
      <w:r>
        <w:rPr>
          <w:rFonts w:eastAsia="Times New Roman" w:cs="Times New Roman" w:ascii="Times New Roman" w:hAnsi="Times New Roman"/>
          <w:sz w:val="28"/>
          <w:szCs w:val="28"/>
        </w:rPr>
        <w:t xml:space="preserve">, </w:t>
      </w:r>
      <w:hyperlink r:id="rId36" w:tgtFrame="Муссонный климат">
        <w:r>
          <w:rPr>
            <w:rFonts w:eastAsia="Times New Roman" w:cs="Times New Roman" w:ascii="Times New Roman" w:hAnsi="Times New Roman"/>
            <w:sz w:val="28"/>
            <w:szCs w:val="28"/>
          </w:rPr>
          <w:t>муссонный</w:t>
        </w:r>
      </w:hyperlink>
      <w:r>
        <w:rPr>
          <w:rFonts w:eastAsia="Times New Roman" w:cs="Times New Roman" w:ascii="Times New Roman" w:hAnsi="Times New Roman"/>
          <w:sz w:val="28"/>
          <w:szCs w:val="28"/>
        </w:rPr>
        <w:t xml:space="preserve">. Зима сухая и холодная с ясной погодой. Весна продолжительная, с частыми колебаниями температуры. Лето тёплое и влажное, на летние месяцы приходится максимум количества осадков, в некоторых районах до 90 % годовых осадков. Осень тёплая, сухая, с ясной погодой. Летом преобладают южные ветра с Тихого океана, а зимой северные, приносящие холодную, но ясную погоду с континентальных районов. Основная особенность — летом обильные осадки и туман. Лето — пора тайфунов, эти </w:t>
      </w:r>
      <w:hyperlink r:id="rId37" w:tgtFrame="Тропический циклон">
        <w:r>
          <w:rPr>
            <w:rFonts w:eastAsia="Times New Roman" w:cs="Times New Roman" w:ascii="Times New Roman" w:hAnsi="Times New Roman"/>
            <w:sz w:val="28"/>
            <w:szCs w:val="28"/>
          </w:rPr>
          <w:t>тропические циклоны</w:t>
        </w:r>
      </w:hyperlink>
      <w:r>
        <w:rPr>
          <w:rFonts w:eastAsia="Times New Roman" w:cs="Times New Roman" w:ascii="Times New Roman" w:hAnsi="Times New Roman"/>
          <w:sz w:val="28"/>
          <w:szCs w:val="28"/>
        </w:rPr>
        <w:t xml:space="preserve"> каждый год посещают край, нанося порой огромный ущерб инфраструктуре края и сельскому хозяйству.</w:t>
      </w:r>
    </w:p>
    <w:p>
      <w:pPr>
        <w:pStyle w:val="Normal"/>
        <w:spacing w:lineRule="auto" w:line="24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В Приморском крае четыре района приравнены к </w:t>
      </w:r>
      <w:hyperlink r:id="rId38" w:tgtFrame="Крайний Север">
        <w:r>
          <w:rPr>
            <w:rFonts w:eastAsia="Times New Roman" w:cs="Times New Roman" w:ascii="Times New Roman" w:hAnsi="Times New Roman"/>
            <w:sz w:val="28"/>
            <w:szCs w:val="28"/>
          </w:rPr>
          <w:t>районам Крайнего Севера</w:t>
        </w:r>
      </w:hyperlink>
      <w:r>
        <w:rPr>
          <w:rFonts w:eastAsia="Times New Roman" w:cs="Times New Roman" w:ascii="Times New Roman" w:hAnsi="Times New Roman"/>
          <w:sz w:val="28"/>
          <w:szCs w:val="28"/>
        </w:rPr>
        <w:t xml:space="preserve">: </w:t>
      </w:r>
      <w:hyperlink r:id="rId39" w:tgtFrame="Дальнегорский городской округ">
        <w:r>
          <w:rPr>
            <w:rFonts w:eastAsia="Times New Roman" w:cs="Times New Roman" w:ascii="Times New Roman" w:hAnsi="Times New Roman"/>
            <w:sz w:val="28"/>
            <w:szCs w:val="28"/>
          </w:rPr>
          <w:t>Дальнегорский</w:t>
        </w:r>
      </w:hyperlink>
      <w:r>
        <w:rPr>
          <w:rFonts w:eastAsia="Times New Roman" w:cs="Times New Roman" w:ascii="Times New Roman" w:hAnsi="Times New Roman"/>
          <w:sz w:val="28"/>
          <w:szCs w:val="28"/>
        </w:rPr>
        <w:t xml:space="preserve">, </w:t>
      </w:r>
      <w:hyperlink r:id="rId40" w:tgtFrame="Кавалеровский район">
        <w:r>
          <w:rPr>
            <w:rFonts w:eastAsia="Times New Roman" w:cs="Times New Roman" w:ascii="Times New Roman" w:hAnsi="Times New Roman"/>
            <w:sz w:val="28"/>
            <w:szCs w:val="28"/>
          </w:rPr>
          <w:t>Кавалеровский</w:t>
        </w:r>
      </w:hyperlink>
      <w:r>
        <w:rPr>
          <w:rFonts w:eastAsia="Times New Roman" w:cs="Times New Roman" w:ascii="Times New Roman" w:hAnsi="Times New Roman"/>
          <w:sz w:val="28"/>
          <w:szCs w:val="28"/>
        </w:rPr>
        <w:t xml:space="preserve">, </w:t>
      </w:r>
      <w:hyperlink r:id="rId41" w:tgtFrame="Ольгинский район">
        <w:r>
          <w:rPr>
            <w:rFonts w:eastAsia="Times New Roman" w:cs="Times New Roman" w:ascii="Times New Roman" w:hAnsi="Times New Roman"/>
            <w:sz w:val="28"/>
            <w:szCs w:val="28"/>
          </w:rPr>
          <w:t>Ольгинский</w:t>
        </w:r>
      </w:hyperlink>
      <w:r>
        <w:rPr>
          <w:rFonts w:eastAsia="Times New Roman" w:cs="Times New Roman" w:ascii="Times New Roman" w:hAnsi="Times New Roman"/>
          <w:sz w:val="28"/>
          <w:szCs w:val="28"/>
        </w:rPr>
        <w:t xml:space="preserve"> и </w:t>
      </w:r>
      <w:hyperlink r:id="rId42" w:tgtFrame="Тернейский район">
        <w:r>
          <w:rPr>
            <w:rFonts w:eastAsia="Times New Roman" w:cs="Times New Roman" w:ascii="Times New Roman" w:hAnsi="Times New Roman"/>
            <w:sz w:val="28"/>
            <w:szCs w:val="28"/>
          </w:rPr>
          <w:t>Тернейский</w:t>
        </w:r>
      </w:hyperlink>
      <w:r>
        <w:rPr>
          <w:rFonts w:eastAsia="Times New Roman" w:cs="Times New Roman" w:ascii="Times New Roman" w:hAnsi="Times New Roman"/>
          <w:sz w:val="28"/>
          <w:szCs w:val="28"/>
        </w:rPr>
        <w:t xml:space="preserve">, а также посёлок городского типа </w:t>
      </w:r>
      <w:hyperlink r:id="rId43" w:tgtFrame="Восток (Приморский край)">
        <w:r>
          <w:rPr>
            <w:rFonts w:eastAsia="Times New Roman" w:cs="Times New Roman" w:ascii="Times New Roman" w:hAnsi="Times New Roman"/>
            <w:sz w:val="28"/>
            <w:szCs w:val="28"/>
          </w:rPr>
          <w:t>Восток</w:t>
        </w:r>
      </w:hyperlink>
      <w:r>
        <w:rPr>
          <w:rFonts w:eastAsia="Times New Roman" w:cs="Times New Roman" w:ascii="Times New Roman" w:hAnsi="Times New Roman"/>
          <w:sz w:val="28"/>
          <w:szCs w:val="28"/>
        </w:rPr>
        <w:t xml:space="preserve"> </w:t>
      </w:r>
      <w:hyperlink r:id="rId44" w:tgtFrame="Красноармейский район (Приморский край)">
        <w:r>
          <w:rPr>
            <w:rFonts w:eastAsia="Times New Roman" w:cs="Times New Roman" w:ascii="Times New Roman" w:hAnsi="Times New Roman"/>
            <w:sz w:val="28"/>
            <w:szCs w:val="28"/>
          </w:rPr>
          <w:t>Красноармейского района</w:t>
        </w:r>
      </w:hyperlink>
      <w:r>
        <w:rPr>
          <w:rFonts w:eastAsia="Times New Roman" w:cs="Times New Roman" w:ascii="Times New Roman" w:hAnsi="Times New Roman"/>
          <w:sz w:val="28"/>
          <w:szCs w:val="28"/>
        </w:rPr>
        <w:t xml:space="preserve">, сёла </w:t>
      </w:r>
      <w:hyperlink r:id="rId45" w:tgtFrame="Богуславец (Приморский край)">
        <w:r>
          <w:rPr>
            <w:rFonts w:eastAsia="Times New Roman" w:cs="Times New Roman" w:ascii="Times New Roman" w:hAnsi="Times New Roman"/>
            <w:sz w:val="28"/>
            <w:szCs w:val="28"/>
          </w:rPr>
          <w:t>Богуславец</w:t>
        </w:r>
      </w:hyperlink>
      <w:r>
        <w:rPr>
          <w:rFonts w:eastAsia="Times New Roman" w:cs="Times New Roman" w:ascii="Times New Roman" w:hAnsi="Times New Roman"/>
          <w:sz w:val="28"/>
          <w:szCs w:val="28"/>
        </w:rPr>
        <w:t xml:space="preserve">, </w:t>
      </w:r>
      <w:hyperlink r:id="rId46" w:tgtFrame="Вострецово (Приморский край)">
        <w:r>
          <w:rPr>
            <w:rFonts w:eastAsia="Times New Roman" w:cs="Times New Roman" w:ascii="Times New Roman" w:hAnsi="Times New Roman"/>
            <w:sz w:val="28"/>
            <w:szCs w:val="28"/>
          </w:rPr>
          <w:t>Вострецово</w:t>
        </w:r>
      </w:hyperlink>
      <w:r>
        <w:rPr>
          <w:rFonts w:eastAsia="Times New Roman" w:cs="Times New Roman" w:ascii="Times New Roman" w:hAnsi="Times New Roman"/>
          <w:sz w:val="28"/>
          <w:szCs w:val="28"/>
        </w:rPr>
        <w:t xml:space="preserve">, </w:t>
      </w:r>
      <w:hyperlink r:id="rId47" w:tgtFrame="Дальний Кут">
        <w:r>
          <w:rPr>
            <w:rFonts w:eastAsia="Times New Roman" w:cs="Times New Roman" w:ascii="Times New Roman" w:hAnsi="Times New Roman"/>
            <w:sz w:val="28"/>
            <w:szCs w:val="28"/>
          </w:rPr>
          <w:t>Дальний Кут</w:t>
        </w:r>
      </w:hyperlink>
      <w:r>
        <w:rPr>
          <w:rFonts w:eastAsia="Times New Roman" w:cs="Times New Roman" w:ascii="Times New Roman" w:hAnsi="Times New Roman"/>
          <w:sz w:val="28"/>
          <w:szCs w:val="28"/>
        </w:rPr>
        <w:t xml:space="preserve">, </w:t>
      </w:r>
      <w:hyperlink r:id="rId48" w:tgtFrame="Измайлиха">
        <w:r>
          <w:rPr>
            <w:rFonts w:eastAsia="Times New Roman" w:cs="Times New Roman" w:ascii="Times New Roman" w:hAnsi="Times New Roman"/>
            <w:sz w:val="28"/>
            <w:szCs w:val="28"/>
          </w:rPr>
          <w:t>Измайлиха</w:t>
        </w:r>
      </w:hyperlink>
      <w:r>
        <w:rPr>
          <w:rFonts w:eastAsia="Times New Roman" w:cs="Times New Roman" w:ascii="Times New Roman" w:hAnsi="Times New Roman"/>
          <w:sz w:val="28"/>
          <w:szCs w:val="28"/>
        </w:rPr>
        <w:t xml:space="preserve">, </w:t>
      </w:r>
      <w:hyperlink r:id="rId49" w:tgtFrame="Мельничное (Красноармейский район)">
        <w:r>
          <w:rPr>
            <w:rFonts w:eastAsia="Times New Roman" w:cs="Times New Roman" w:ascii="Times New Roman" w:hAnsi="Times New Roman"/>
            <w:sz w:val="28"/>
            <w:szCs w:val="28"/>
          </w:rPr>
          <w:t>Мельничное</w:t>
        </w:r>
      </w:hyperlink>
      <w:r>
        <w:rPr>
          <w:rFonts w:eastAsia="Times New Roman" w:cs="Times New Roman" w:ascii="Times New Roman" w:hAnsi="Times New Roman"/>
          <w:sz w:val="28"/>
          <w:szCs w:val="28"/>
        </w:rPr>
        <w:t xml:space="preserve">, </w:t>
      </w:r>
      <w:hyperlink r:id="rId50" w:tgtFrame="Рощино (Приморский край)">
        <w:r>
          <w:rPr>
            <w:rFonts w:eastAsia="Times New Roman" w:cs="Times New Roman" w:ascii="Times New Roman" w:hAnsi="Times New Roman"/>
            <w:sz w:val="28"/>
            <w:szCs w:val="28"/>
          </w:rPr>
          <w:t>Рощино</w:t>
        </w:r>
      </w:hyperlink>
      <w:r>
        <w:rPr>
          <w:rFonts w:eastAsia="Times New Roman" w:cs="Times New Roman" w:ascii="Times New Roman" w:hAnsi="Times New Roman"/>
          <w:sz w:val="28"/>
          <w:szCs w:val="28"/>
        </w:rPr>
        <w:t xml:space="preserve">, </w:t>
      </w:r>
      <w:hyperlink r:id="rId51" w:tgtFrame="Таёжное (Приморский край)">
        <w:r>
          <w:rPr>
            <w:rFonts w:eastAsia="Times New Roman" w:cs="Times New Roman" w:ascii="Times New Roman" w:hAnsi="Times New Roman"/>
            <w:sz w:val="28"/>
            <w:szCs w:val="28"/>
          </w:rPr>
          <w:t>Таёжное</w:t>
        </w:r>
      </w:hyperlink>
      <w:r>
        <w:rPr>
          <w:rFonts w:eastAsia="Times New Roman" w:cs="Times New Roman" w:ascii="Times New Roman" w:hAnsi="Times New Roman"/>
          <w:sz w:val="28"/>
          <w:szCs w:val="28"/>
        </w:rPr>
        <w:t xml:space="preserve"> и </w:t>
      </w:r>
      <w:hyperlink r:id="rId52" w:tgtFrame="Молодёжное (Приморский край)">
        <w:r>
          <w:rPr>
            <w:rFonts w:eastAsia="Times New Roman" w:cs="Times New Roman" w:ascii="Times New Roman" w:hAnsi="Times New Roman"/>
            <w:sz w:val="28"/>
            <w:szCs w:val="28"/>
          </w:rPr>
          <w:t>Молодёжное</w:t>
        </w:r>
      </w:hyperlink>
      <w:r>
        <w:rPr>
          <w:rFonts w:eastAsia="Times New Roman" w:cs="Times New Roman" w:ascii="Times New Roman" w:hAnsi="Times New Roman"/>
          <w:sz w:val="28"/>
          <w:szCs w:val="28"/>
        </w:rPr>
        <w:t xml:space="preserve"> </w:t>
      </w:r>
      <w:hyperlink r:id="rId53" w:tgtFrame="Красноармейский район (Приморский край)">
        <w:r>
          <w:rPr>
            <w:rFonts w:eastAsia="Times New Roman" w:cs="Times New Roman" w:ascii="Times New Roman" w:hAnsi="Times New Roman"/>
            <w:sz w:val="28"/>
            <w:szCs w:val="28"/>
          </w:rPr>
          <w:t>Красноармейского района</w:t>
        </w:r>
      </w:hyperlink>
      <w:r>
        <w:rPr>
          <w:rFonts w:eastAsia="Times New Roman" w:cs="Times New Roman" w:ascii="Times New Roman" w:hAnsi="Times New Roman"/>
          <w:sz w:val="28"/>
          <w:szCs w:val="28"/>
        </w:rPr>
        <w:t>.</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Более 2/3 территории Приморского края занимает Уссурийская тайга, представленная широколиственными лесами преимущественно семи видов: клен, липа, ясень, дуб, маньчжурский орех, граб, тис, береза, а также значительной частью семейства аралиевых. Из хвойных видов в основном произрастает кедр корейский, пихта цельнолистная, ель.</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Преобладающими видами почв в северных горно-таежных районах являются буроземы, тундроземы, подбуры;  в центральной, южной и западной части - буроземы типичные, оподзоленные и буро-отбеленные; в поймах рек преобладают поймоземы слоистые и остаточные (пойменные, аллювиальные дерновые и остаточно-пойменные). В меньшей степени в поймах рек Сунгач, устьях р. Илистая, Бикин, Большая Уссурка и Раздольная встречаются торфоземы и глееземы (лугово-болотные, болотные, лугово-глеевые, торфяники).</w:t>
      </w:r>
    </w:p>
    <w:p>
      <w:pPr>
        <w:pStyle w:val="1"/>
        <w:numPr>
          <w:ilvl w:val="0"/>
          <w:numId w:val="1"/>
        </w:numPr>
        <w:spacing w:lineRule="auto" w:line="240" w:before="0" w:after="0"/>
        <w:contextualSpacing/>
        <w:jc w:val="center"/>
        <w:rPr>
          <w:rFonts w:ascii="Times New Roman" w:hAnsi="Times New Roman" w:eastAsia="" w:eastAsiaTheme="majorEastAsia"/>
          <w:b/>
          <w:b/>
          <w:bCs/>
          <w:sz w:val="32"/>
          <w:szCs w:val="32"/>
        </w:rPr>
      </w:pPr>
      <w:r>
        <w:rPr>
          <w:rFonts w:eastAsia="" w:ascii="Times New Roman" w:hAnsi="Times New Roman" w:eastAsiaTheme="majorEastAsia"/>
          <w:b/>
          <w:bCs/>
          <w:sz w:val="32"/>
          <w:szCs w:val="32"/>
          <w:lang w:val="ru-RU"/>
        </w:rPr>
        <w:t>ЗЕМЕЛЬНЫЙ ФОНД ПРИМОРСКОГО КРАЯ</w:t>
      </w:r>
    </w:p>
    <w:p>
      <w:pPr>
        <w:pStyle w:val="Normal"/>
        <w:spacing w:before="0" w:after="0"/>
        <w:rPr>
          <w:lang w:val="en-US" w:eastAsia="en-US" w:bidi="en-US"/>
        </w:rPr>
      </w:pPr>
      <w:r>
        <w:rPr>
          <w:lang w:val="en-US" w:eastAsia="en-US" w:bidi="en-US"/>
        </w:rPr>
      </w:r>
    </w:p>
    <w:p>
      <w:pPr>
        <w:pStyle w:val="Normal"/>
        <w:spacing w:lineRule="auto" w:line="240" w:before="0" w:after="0"/>
        <w:ind w:firstLine="709"/>
        <w:jc w:val="both"/>
        <w:rPr>
          <w:rFonts w:ascii="Times New Roman" w:hAnsi="Times New Roman" w:cs="Times New Roman"/>
          <w:sz w:val="28"/>
          <w:szCs w:val="28"/>
        </w:rPr>
      </w:pPr>
      <w:bookmarkStart w:id="31" w:name="_Toc34212833"/>
      <w:bookmarkStart w:id="32" w:name="_Toc34558203"/>
      <w:bookmarkStart w:id="33" w:name="_Toc34559003"/>
      <w:bookmarkStart w:id="34" w:name="_Toc34559180"/>
      <w:bookmarkStart w:id="35" w:name="_Toc34560032"/>
      <w:bookmarkStart w:id="36" w:name="_Toc34560080"/>
      <w:bookmarkStart w:id="37" w:name="_Toc34560170"/>
      <w:bookmarkStart w:id="38" w:name="_Toc65489215"/>
      <w:bookmarkStart w:id="39" w:name="_Toc96823384"/>
      <w:bookmarkStart w:id="40" w:name="_Toc97106159"/>
      <w:bookmarkStart w:id="41" w:name="_Toc130628058"/>
      <w:bookmarkStart w:id="42" w:name="_Toc256850159"/>
      <w:r>
        <w:rPr>
          <w:rFonts w:cs="Times New Roman" w:ascii="Times New Roman" w:hAnsi="Times New Roman"/>
          <w:sz w:val="28"/>
          <w:szCs w:val="28"/>
        </w:rPr>
        <w:t xml:space="preserve">Земли, находящиеся в пределах границ Приморского края, составляют земельный фонд Приморского края. Согласно действующему законодательству государственный учет земель осуществляется по категориям земель и угодьям. </w:t>
      </w:r>
    </w:p>
    <w:p>
      <w:pPr>
        <w:pStyle w:val="NormalWeb"/>
        <w:spacing w:lineRule="auto" w:line="240" w:before="0" w:after="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Целью государственного учета земель является получение сведений о земле, необходимых для принятия управленческих решений, направленных на обеспечение рационального и эффективного использования земель.</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Категория земель - это часть земельного фонда, выделяемая по основному целевому назначению и имеющая определенный правовой режим. Отнесение земель к категориям осуществляется в соответствии с их целевым назначением и правовым режимом.</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Действующее законодательство предусматривает 7 категорий земель:</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сельскохозяйственного назначения;</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населенных пунктов;</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особо охраняемых территорий и объектов;</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лесного фонда;</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водного фонда;</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запаса.</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Земельные угодья – это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 Учет земель по угодьям ведется в соответствии с их фактическим состоянием и использованием.</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Земельные угодья подразделяются на сельскохозяйственные и несельскохозяйственные.</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Сельскохозяйственные угодья включают:</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пашню;</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кормовые угодья (сенокосы и пастбища);</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залежь;</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многолетние насаждения.</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Несельскохозяйственные угодья подразделяются на:</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под поверхностными водными объектами, включая болота;</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под лесами и древесно-кустарниковой растительностью;</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застройки;</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под дорогами;</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нарушенные земли;</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прочие земли (овраги, пески, полигоны отходов, свалки, территории консервации).</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xml:space="preserve">По данным государственного кадастра недвижимости на территории Приморского края территориальными отделами Управления Федеральной службы государственной регистрации, кадастра и картографии по Приморскому краю (далее – Управление) составляются ежегодные отчеты о земельном фонде муниципальных образований края. Управление путем свода этих данных формирует отчет о наличии на территории края земель и распределении их по категориям и угодьям. </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Составление государственной статистической отчетности за 2016 год осуществлялось по формам, утвержденным постановлением Федеральной службы государственной статистики от 06.08.2007 №</w:t>
      </w:r>
      <w:r>
        <w:rPr>
          <w:rFonts w:cs="Times New Roman" w:ascii="Times New Roman" w:hAnsi="Times New Roman"/>
          <w:sz w:val="28"/>
          <w:szCs w:val="28"/>
        </w:rPr>
        <w:t> </w:t>
      </w:r>
      <w:r>
        <w:rPr>
          <w:rFonts w:cs="Times New Roman" w:ascii="Times New Roman" w:hAnsi="Times New Roman"/>
          <w:sz w:val="28"/>
          <w:szCs w:val="28"/>
          <w:lang w:val="ru-RU"/>
        </w:rPr>
        <w:t xml:space="preserve">61 «Об утверждении статистического инструментария для организации Роснедвижимостью статистического наблюдения за земельными ресурсами», а также на основании приказа Росреестра </w:t>
      </w:r>
      <w:r>
        <w:rPr>
          <w:rFonts w:ascii="Times New Roman" w:hAnsi="Times New Roman"/>
          <w:sz w:val="28"/>
          <w:szCs w:val="28"/>
          <w:lang w:val="ru-RU"/>
        </w:rPr>
        <w:t>от 06.10.2016 № П/0494 «Об организации федерального статистического наблюдения за земельными ресурсами в субъектах Российской Федерации и составления статистического отчета о наличии и распределении земель в 2016 году»</w:t>
      </w:r>
      <w:r>
        <w:rPr>
          <w:rFonts w:cs="Times New Roman" w:ascii="Times New Roman" w:hAnsi="Times New Roman"/>
          <w:sz w:val="28"/>
          <w:szCs w:val="28"/>
          <w:lang w:val="ru-RU"/>
        </w:rPr>
        <w:t>.</w:t>
      </w:r>
    </w:p>
    <w:p>
      <w:pPr>
        <w:pStyle w:val="NormalWeb"/>
        <w:spacing w:lineRule="auto" w:line="240" w:before="0" w:after="200"/>
        <w:ind w:firstLine="709"/>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before="0" w:after="200"/>
        <w:ind w:firstLine="709"/>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t xml:space="preserve">1.1. РАСПРЕДЕЛЕНИЕ ЗЕМЕЛЬНОГО ФОНДА </w:t>
      </w:r>
    </w:p>
    <w:p>
      <w:pPr>
        <w:pStyle w:val="NormalWeb"/>
        <w:spacing w:lineRule="auto" w:line="240" w:before="0" w:after="200"/>
        <w:ind w:firstLine="709"/>
        <w:contextualSpacing/>
        <w:jc w:val="center"/>
        <w:rPr>
          <w:rFonts w:ascii="Times New Roman" w:hAnsi="Times New Roman" w:cs="Times New Roman"/>
          <w:b/>
          <w:b/>
          <w:sz w:val="28"/>
          <w:szCs w:val="28"/>
          <w:lang w:val="ru-RU"/>
        </w:rPr>
      </w:pPr>
      <w:bookmarkStart w:id="43" w:name="_Toc34212833"/>
      <w:bookmarkStart w:id="44" w:name="_Toc34558203"/>
      <w:bookmarkStart w:id="45" w:name="_Toc34559003"/>
      <w:bookmarkStart w:id="46" w:name="_Toc34559180"/>
      <w:bookmarkStart w:id="47" w:name="_Toc34560032"/>
      <w:bookmarkStart w:id="48" w:name="_Toc34560080"/>
      <w:bookmarkStart w:id="49" w:name="_Toc34560170"/>
      <w:bookmarkStart w:id="50" w:name="_Toc65489215"/>
      <w:bookmarkStart w:id="51" w:name="_Toc96823384"/>
      <w:bookmarkStart w:id="52" w:name="_Toc97106159"/>
      <w:bookmarkStart w:id="53" w:name="_Toc130628058"/>
      <w:bookmarkStart w:id="54" w:name="_Toc256850159"/>
      <w:r>
        <w:rPr>
          <w:rFonts w:cs="Times New Roman" w:ascii="Times New Roman" w:hAnsi="Times New Roman"/>
          <w:b/>
          <w:sz w:val="28"/>
          <w:szCs w:val="28"/>
          <w:lang w:val="ru-RU"/>
        </w:rPr>
        <w:t>ПО КАТЕГОРИЯМ ЗЕМЕЛЬ</w:t>
      </w:r>
      <w:bookmarkEnd w:id="43"/>
      <w:bookmarkEnd w:id="44"/>
      <w:bookmarkEnd w:id="45"/>
      <w:bookmarkEnd w:id="46"/>
      <w:bookmarkEnd w:id="47"/>
      <w:bookmarkEnd w:id="48"/>
      <w:bookmarkEnd w:id="49"/>
      <w:bookmarkEnd w:id="50"/>
      <w:bookmarkEnd w:id="51"/>
      <w:bookmarkEnd w:id="52"/>
      <w:bookmarkEnd w:id="53"/>
      <w:bookmarkEnd w:id="54"/>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Все земли в пределах территории Приморского края подразделяются по целевому назначению на следующие категории:</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сельскохозяйственного назначения;</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населенных пунктов;</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особо охраняемых территорий и объектов;</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лесного фонда;</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водного фонда;</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земли запаса.</w:t>
      </w:r>
    </w:p>
    <w:p>
      <w:pPr>
        <w:pStyle w:val="Normal"/>
        <w:tabs>
          <w:tab w:val="clear" w:pos="708"/>
          <w:tab w:val="left" w:pos="9354" w:leader="none"/>
        </w:tabs>
        <w:suppressAutoHyphens w:val="true"/>
        <w:spacing w:lineRule="auto" w:line="240" w:before="0" w:after="200"/>
        <w:ind w:right="-2" w:firstLine="709"/>
        <w:contextualSpacing/>
        <w:jc w:val="both"/>
        <w:rPr>
          <w:rFonts w:ascii="Cambria" w:hAnsi="Cambria" w:cs="" w:asciiTheme="majorHAnsi" w:cstheme="majorBidi" w:hAnsiTheme="majorHAnsi"/>
          <w:sz w:val="24"/>
          <w:szCs w:val="24"/>
        </w:rPr>
      </w:pPr>
      <w:r>
        <w:rPr>
          <w:rFonts w:cs="" w:cstheme="majorBidi" w:ascii="Cambria" w:hAnsi="Cambria"/>
          <w:sz w:val="24"/>
          <w:szCs w:val="24"/>
        </w:rPr>
        <w:drawing>
          <wp:anchor behindDoc="0" distT="0" distB="0" distL="114300" distR="114300" simplePos="0" locked="0" layoutInCell="0" allowOverlap="1" relativeHeight="6">
            <wp:simplePos x="0" y="0"/>
            <wp:positionH relativeFrom="column">
              <wp:posOffset>23495</wp:posOffset>
            </wp:positionH>
            <wp:positionV relativeFrom="paragraph">
              <wp:posOffset>18415</wp:posOffset>
            </wp:positionV>
            <wp:extent cx="2352675" cy="2686050"/>
            <wp:effectExtent l="0" t="0" r="0" b="0"/>
            <wp:wrapThrough wrapText="bothSides">
              <wp:wrapPolygon edited="0">
                <wp:start x="-171" y="0"/>
                <wp:lineTo x="-171" y="21444"/>
                <wp:lineTo x="21678" y="21444"/>
                <wp:lineTo x="21678" y="0"/>
                <wp:lineTo x="-171" y="0"/>
              </wp:wrapPolygon>
            </wp:wrapThrough>
            <wp:docPr id="3" name="Рисунок 9" descr="Примкрай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descr="Примкрай6"/>
                    <pic:cNvPicPr>
                      <a:picLocks noChangeAspect="1" noChangeArrowheads="1"/>
                    </pic:cNvPicPr>
                  </pic:nvPicPr>
                  <pic:blipFill>
                    <a:blip r:embed="rId54"/>
                    <a:srcRect l="15471" t="6552" r="17286" b="6590"/>
                    <a:stretch>
                      <a:fillRect/>
                    </a:stretch>
                  </pic:blipFill>
                  <pic:spPr bwMode="auto">
                    <a:xfrm>
                      <a:off x="0" y="0"/>
                      <a:ext cx="2352675" cy="2686050"/>
                    </a:xfrm>
                    <a:prstGeom prst="rect">
                      <a:avLst/>
                    </a:prstGeom>
                  </pic:spPr>
                </pic:pic>
              </a:graphicData>
            </a:graphic>
          </wp:anchor>
        </w:drawing>
      </w:r>
    </w:p>
    <w:p>
      <w:pPr>
        <w:pStyle w:val="Normal"/>
        <w:tabs>
          <w:tab w:val="clear" w:pos="708"/>
          <w:tab w:val="left" w:pos="9354" w:leader="none"/>
        </w:tabs>
        <w:suppressAutoHyphens w:val="true"/>
        <w:spacing w:lineRule="auto" w:line="240" w:before="0" w:after="200"/>
        <w:ind w:right="-2" w:firstLine="709"/>
        <w:contextualSpacing/>
        <w:jc w:val="both"/>
        <w:rPr>
          <w:sz w:val="24"/>
          <w:szCs w:val="24"/>
        </w:rPr>
      </w:pPr>
      <w:r>
        <w:rPr>
          <w:sz w:val="24"/>
          <w:szCs w:val="24"/>
        </w:rPr>
      </w:r>
    </w:p>
    <w:p>
      <w:pPr>
        <w:pStyle w:val="Normal"/>
        <w:tabs>
          <w:tab w:val="clear" w:pos="708"/>
          <w:tab w:val="left" w:pos="9354" w:leader="none"/>
        </w:tabs>
        <w:suppressAutoHyphens w:val="true"/>
        <w:spacing w:lineRule="auto" w:line="240" w:before="0" w:after="200"/>
        <w:ind w:right="-2" w:firstLine="709"/>
        <w:contextualSpacing/>
        <w:jc w:val="both"/>
        <w:rPr>
          <w:sz w:val="24"/>
          <w:szCs w:val="24"/>
        </w:rPr>
      </w:pPr>
      <w:r>
        <w:rPr>
          <w:sz w:val="24"/>
          <w:szCs w:val="24"/>
        </w:rPr>
      </w:r>
    </w:p>
    <w:p>
      <w:pPr>
        <w:pStyle w:val="Normal"/>
        <w:spacing w:lineRule="auto" w:line="240" w:before="0" w:after="200"/>
        <w:contextualSpacing/>
        <w:jc w:val="center"/>
        <w:rPr>
          <w:rFonts w:ascii="Times New Roman" w:hAnsi="Times New Roman"/>
          <w:b/>
          <w:b/>
          <w:i/>
          <w:i/>
          <w:sz w:val="24"/>
          <w:szCs w:val="24"/>
        </w:rPr>
      </w:pPr>
      <w:r>
        <w:rPr>
          <w:rFonts w:ascii="Times New Roman" w:hAnsi="Times New Roman"/>
          <w:b/>
          <w:i/>
          <w:sz w:val="24"/>
          <w:szCs w:val="24"/>
        </w:rPr>
        <w:t>Приморский край</w:t>
      </w:r>
    </w:p>
    <w:p>
      <w:pPr>
        <w:pStyle w:val="NormalWeb"/>
        <w:spacing w:lineRule="auto" w:line="240" w:before="0" w:after="200"/>
        <w:contextualSpacing/>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rPr>
        <w:t>Всего земель (тыс.га)      ……………..……16467,3</w:t>
      </w:r>
    </w:p>
    <w:p>
      <w:pPr>
        <w:pStyle w:val="NormalWeb"/>
        <w:spacing w:lineRule="auto" w:line="240" w:before="0" w:after="200"/>
        <w:contextualSpacing/>
        <w:rPr>
          <w:rFonts w:ascii="Times New Roman" w:hAnsi="Times New Roman"/>
          <w:sz w:val="24"/>
          <w:szCs w:val="24"/>
          <w:lang w:val="ru-RU"/>
        </w:rPr>
      </w:pPr>
      <w:r>
        <w:rPr>
          <w:rFonts w:ascii="Times New Roman" w:hAnsi="Times New Roman"/>
          <w:sz w:val="24"/>
          <w:szCs w:val="24"/>
          <w:lang w:val="ru-RU"/>
        </w:rPr>
        <w:t>в том числе:</w:t>
      </w:r>
    </w:p>
    <w:p>
      <w:pPr>
        <w:pStyle w:val="NormalWeb"/>
        <w:spacing w:lineRule="auto" w:line="240" w:before="0" w:after="200"/>
        <w:contextualSpacing/>
        <w:rPr>
          <w:rFonts w:ascii="Times New Roman" w:hAnsi="Times New Roman"/>
          <w:sz w:val="24"/>
          <w:szCs w:val="24"/>
          <w:lang w:val="ru-RU"/>
        </w:rPr>
      </w:pPr>
      <w:r>
        <w:rPr>
          <w:rFonts w:ascii="Times New Roman" w:hAnsi="Times New Roman"/>
          <w:sz w:val="24"/>
          <w:szCs w:val="24"/>
          <w:lang w:val="ru-RU"/>
        </w:rPr>
        <w:t>- земли сельскохозяйственного назначения  1862,3</w:t>
      </w:r>
    </w:p>
    <w:p>
      <w:pPr>
        <w:pStyle w:val="NormalWeb"/>
        <w:spacing w:lineRule="auto" w:line="240" w:before="0" w:after="200"/>
        <w:contextualSpacing/>
        <w:rPr>
          <w:rFonts w:ascii="Times New Roman" w:hAnsi="Times New Roman"/>
          <w:sz w:val="24"/>
          <w:szCs w:val="24"/>
          <w:lang w:val="ru-RU"/>
        </w:rPr>
      </w:pPr>
      <w:r>
        <w:rPr>
          <w:rFonts w:ascii="Times New Roman" w:hAnsi="Times New Roman"/>
          <w:sz w:val="24"/>
          <w:szCs w:val="24"/>
          <w:lang w:val="ru-RU"/>
        </w:rPr>
        <w:t>- земли населенных пунктов              ……….. 249,4</w:t>
      </w:r>
    </w:p>
    <w:p>
      <w:pPr>
        <w:pStyle w:val="NormalWeb"/>
        <w:spacing w:lineRule="auto" w:line="240" w:before="0" w:after="200"/>
        <w:contextualSpacing/>
        <w:rPr>
          <w:rFonts w:ascii="Times New Roman" w:hAnsi="Times New Roman"/>
          <w:sz w:val="24"/>
          <w:szCs w:val="24"/>
          <w:lang w:val="ru-RU"/>
        </w:rPr>
      </w:pPr>
      <w:r>
        <w:rPr>
          <w:rFonts w:ascii="Times New Roman" w:hAnsi="Times New Roman"/>
          <w:sz w:val="24"/>
          <w:szCs w:val="24"/>
          <w:lang w:val="ru-RU"/>
        </w:rPr>
        <w:t>- земли промышленности, транспорта и пр.   384,3</w:t>
      </w:r>
    </w:p>
    <w:p>
      <w:pPr>
        <w:pStyle w:val="NormalWeb"/>
        <w:spacing w:lineRule="auto" w:line="240" w:before="0" w:after="200"/>
        <w:contextualSpacing/>
        <w:rPr>
          <w:rFonts w:ascii="Times New Roman" w:hAnsi="Times New Roman"/>
          <w:sz w:val="24"/>
          <w:szCs w:val="24"/>
          <w:lang w:val="ru-RU"/>
        </w:rPr>
      </w:pPr>
      <w:r>
        <w:rPr>
          <w:rFonts w:ascii="Times New Roman" w:hAnsi="Times New Roman"/>
          <w:sz w:val="24"/>
          <w:szCs w:val="24"/>
          <w:lang w:val="ru-RU"/>
        </w:rPr>
        <w:t>- земли особо охраняемых территорий     ...... 847,3</w:t>
      </w:r>
    </w:p>
    <w:p>
      <w:pPr>
        <w:pStyle w:val="NormalWeb"/>
        <w:spacing w:lineRule="auto" w:line="240" w:before="0" w:after="200"/>
        <w:contextualSpacing/>
        <w:rPr>
          <w:rFonts w:ascii="Times New Roman" w:hAnsi="Times New Roman"/>
          <w:sz w:val="24"/>
          <w:szCs w:val="24"/>
          <w:lang w:val="ru-RU"/>
        </w:rPr>
      </w:pPr>
      <w:r>
        <w:rPr>
          <w:rFonts w:ascii="Times New Roman" w:hAnsi="Times New Roman"/>
          <w:sz w:val="24"/>
          <w:szCs w:val="24"/>
          <w:lang w:val="ru-RU"/>
        </w:rPr>
        <w:t>- земли лесного фонда                          ……. 12150,9</w:t>
      </w:r>
    </w:p>
    <w:p>
      <w:pPr>
        <w:pStyle w:val="NormalWeb"/>
        <w:spacing w:lineRule="auto" w:line="240" w:before="0" w:after="200"/>
        <w:contextualSpacing/>
        <w:rPr>
          <w:rFonts w:ascii="Times New Roman" w:hAnsi="Times New Roman"/>
          <w:sz w:val="24"/>
          <w:szCs w:val="24"/>
          <w:lang w:val="ru-RU"/>
        </w:rPr>
      </w:pPr>
      <w:r>
        <w:rPr>
          <w:rFonts w:ascii="Times New Roman" w:hAnsi="Times New Roman"/>
          <w:sz w:val="24"/>
          <w:szCs w:val="24"/>
          <w:lang w:val="ru-RU"/>
        </w:rPr>
        <w:t>- земли водного фонда                          …........ 323,2</w:t>
      </w:r>
    </w:p>
    <w:p>
      <w:pPr>
        <w:pStyle w:val="NormalWeb"/>
        <w:spacing w:lineRule="auto" w:line="240" w:before="0" w:after="200"/>
        <w:contextualSpacing/>
        <w:rPr>
          <w:rFonts w:ascii="Times New Roman" w:hAnsi="Times New Roman"/>
          <w:sz w:val="24"/>
          <w:szCs w:val="24"/>
          <w:lang w:val="ru-RU"/>
        </w:rPr>
      </w:pPr>
      <w:r>
        <w:rPr>
          <w:rFonts w:ascii="Times New Roman" w:hAnsi="Times New Roman"/>
          <w:sz w:val="24"/>
          <w:szCs w:val="24"/>
          <w:lang w:val="ru-RU"/>
        </w:rPr>
        <w:t>- земли запаса                            …………..…... 649,9</w:t>
      </w:r>
    </w:p>
    <w:p>
      <w:pPr>
        <w:pStyle w:val="Normal"/>
        <w:suppressAutoHyphens w:val="true"/>
        <w:spacing w:lineRule="auto" w:line="240" w:before="0" w:after="200"/>
        <w:ind w:right="-2" w:firstLine="709"/>
        <w:contextualSpacing/>
        <w:jc w:val="both"/>
        <w:rPr>
          <w:sz w:val="24"/>
          <w:szCs w:val="24"/>
        </w:rPr>
      </w:pPr>
      <w:r>
        <w:rPr>
          <w:sz w:val="24"/>
          <w:szCs w:val="24"/>
        </w:rPr>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По данным государственного учета общая площадь земель Приморского края на 1 января 2017 года составляет – 16 млн. 467,3 тыс. га или 1 % всей территории Российской Федерации. Большая часть земель (около 2/3 территории Приморского края) отнесена к категории земель лесного фонда. На земли сельскохозяйственного назначения приходится около одной десятой земель края. </w:t>
      </w:r>
      <w:r>
        <w:rPr>
          <w:rFonts w:ascii="Times New Roman" w:hAnsi="Times New Roman"/>
          <w:sz w:val="28"/>
          <w:szCs w:val="28"/>
        </w:rPr>
        <w:t>Структура земель представлена на диаграмме (рис.1).</w:t>
      </w:r>
    </w:p>
    <w:p>
      <w:pPr>
        <w:pStyle w:val="Normal"/>
        <w:widowControl w:val="false"/>
        <w:spacing w:lineRule="auto" w:line="240" w:before="0" w:after="0"/>
        <w:jc w:val="center"/>
        <w:rPr>
          <w:rFonts w:ascii="Arial CYR" w:hAnsi="Arial CYR" w:cs="Arial CYR"/>
          <w:sz w:val="20"/>
          <w:szCs w:val="20"/>
        </w:rPr>
      </w:pPr>
      <w:r>
        <w:rPr/>
        <w:drawing>
          <wp:inline distT="0" distB="0" distL="0" distR="0">
            <wp:extent cx="4572000" cy="2743200"/>
            <wp:effectExtent l="0" t="0" r="0" b="0"/>
            <wp:docPr id="4"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NormalWeb"/>
        <w:jc w:val="center"/>
        <w:rPr>
          <w:rFonts w:ascii="Times New Roman" w:hAnsi="Times New Roman" w:cs="Times New Roman"/>
          <w:b/>
          <w:b/>
          <w:sz w:val="24"/>
          <w:szCs w:val="24"/>
          <w:lang w:val="ru-RU"/>
        </w:rPr>
      </w:pPr>
      <w:r>
        <w:rPr>
          <w:rFonts w:cs="Times New Roman" w:ascii="Times New Roman" w:hAnsi="Times New Roman"/>
          <w:b/>
          <w:sz w:val="24"/>
          <w:szCs w:val="24"/>
          <w:lang w:val="ru-RU"/>
        </w:rPr>
        <w:t>Рис. 1. Структура земель Приморского края в 2016 году</w:t>
      </w:r>
    </w:p>
    <w:p>
      <w:pPr>
        <w:pStyle w:val="NormalWeb"/>
        <w:spacing w:lineRule="auto" w:line="240" w:before="0" w:after="0"/>
        <w:ind w:firstLine="709"/>
        <w:jc w:val="both"/>
        <w:rPr>
          <w:rFonts w:ascii="Times New Roman" w:hAnsi="Times New Roman"/>
          <w:sz w:val="28"/>
          <w:szCs w:val="28"/>
          <w:lang w:val="ru-RU"/>
        </w:rPr>
      </w:pPr>
      <w:r>
        <w:rPr>
          <w:rFonts w:ascii="Times New Roman" w:hAnsi="Times New Roman"/>
          <w:sz w:val="28"/>
          <w:szCs w:val="28"/>
          <w:lang w:val="ru-RU"/>
        </w:rPr>
        <w:t>Сравнивая показатели в составе земель Приморского края последних двух лет (таблица 1) можно констатировать, что переводы земель из одной категории в другую осуществляются и этот процесс в 2016 году в той или иной степени затронул большую половину категорий земель.</w:t>
      </w:r>
    </w:p>
    <w:p>
      <w:pPr>
        <w:pStyle w:val="NormalWeb"/>
        <w:spacing w:lineRule="auto" w:line="240" w:before="0" w:after="20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Web"/>
        <w:spacing w:lineRule="auto" w:line="240" w:before="0" w:after="20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t>Распределение земельного фонда Приморского края по категориям</w:t>
      </w:r>
    </w:p>
    <w:p>
      <w:pPr>
        <w:pStyle w:val="NormalWeb"/>
        <w:spacing w:lineRule="auto" w:line="240" w:before="0" w:after="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t>за 2016 год (тыс. га)</w:t>
      </w:r>
    </w:p>
    <w:p>
      <w:pPr>
        <w:pStyle w:val="Normal"/>
        <w:spacing w:before="0" w:after="200"/>
        <w:ind w:right="282" w:hanging="0"/>
        <w:contextualSpacing/>
        <w:jc w:val="right"/>
        <w:rPr>
          <w:rFonts w:ascii="Times New Roman" w:hAnsi="Times New Roman" w:cs="Times New Roman"/>
          <w:sz w:val="24"/>
          <w:szCs w:val="24"/>
        </w:rPr>
      </w:pPr>
      <w:r>
        <w:rPr>
          <w:rFonts w:cs="Times New Roman" w:ascii="Times New Roman" w:hAnsi="Times New Roman"/>
          <w:sz w:val="24"/>
          <w:szCs w:val="24"/>
        </w:rPr>
        <w:t>Таблица 1</w:t>
      </w:r>
    </w:p>
    <w:tbl>
      <w:tblPr>
        <w:tblW w:w="9267" w:type="dxa"/>
        <w:jc w:val="center"/>
        <w:tblInd w:w="0" w:type="dxa"/>
        <w:tblLayout w:type="fixed"/>
        <w:tblCellMar>
          <w:top w:w="0" w:type="dxa"/>
          <w:left w:w="108" w:type="dxa"/>
          <w:bottom w:w="0" w:type="dxa"/>
          <w:right w:w="108" w:type="dxa"/>
        </w:tblCellMar>
        <w:tblLook w:val="00a0" w:noHBand="0" w:noVBand="0" w:firstColumn="1" w:lastRow="0" w:lastColumn="0" w:firstRow="1"/>
      </w:tblPr>
      <w:tblGrid>
        <w:gridCol w:w="659"/>
        <w:gridCol w:w="3893"/>
        <w:gridCol w:w="1123"/>
        <w:gridCol w:w="1122"/>
        <w:gridCol w:w="1134"/>
        <w:gridCol w:w="1335"/>
      </w:tblGrid>
      <w:tr>
        <w:trPr>
          <w:trHeight w:val="1036" w:hRule="atLeast"/>
        </w:trPr>
        <w:tc>
          <w:tcPr>
            <w:tcW w:w="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ind w:right="57" w:hanging="0"/>
              <w:contextualSpacing/>
              <w:jc w:val="center"/>
              <w:rPr>
                <w:rFonts w:ascii="Times New Roman" w:hAnsi="Times New Roman"/>
                <w:sz w:val="20"/>
                <w:szCs w:val="20"/>
                <w:lang w:val="en-US" w:eastAsia="en-US"/>
              </w:rPr>
            </w:pPr>
            <w:r>
              <w:rPr>
                <w:rFonts w:ascii="Times New Roman" w:hAnsi="Times New Roman"/>
                <w:sz w:val="20"/>
                <w:szCs w:val="20"/>
              </w:rPr>
              <w:t>№</w:t>
            </w:r>
          </w:p>
          <w:p>
            <w:pPr>
              <w:pStyle w:val="Normal"/>
              <w:widowControl w:val="false"/>
              <w:spacing w:lineRule="auto" w:line="240" w:before="0" w:after="200"/>
              <w:ind w:right="57" w:hanging="0"/>
              <w:contextualSpacing/>
              <w:jc w:val="center"/>
              <w:rPr>
                <w:rFonts w:ascii="Times New Roman" w:hAnsi="Times New Roman"/>
                <w:sz w:val="20"/>
                <w:szCs w:val="20"/>
                <w:lang w:val="en-US" w:eastAsia="en-US"/>
              </w:rPr>
            </w:pPr>
            <w:r>
              <w:rPr>
                <w:rFonts w:ascii="Times New Roman" w:hAnsi="Times New Roman"/>
                <w:sz w:val="20"/>
                <w:szCs w:val="20"/>
              </w:rPr>
              <w:t>п.п.</w:t>
            </w:r>
          </w:p>
        </w:tc>
        <w:tc>
          <w:tcPr>
            <w:tcW w:w="3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ind w:right="57" w:hanging="0"/>
              <w:contextualSpacing/>
              <w:jc w:val="center"/>
              <w:rPr>
                <w:rFonts w:ascii="Times New Roman" w:hAnsi="Times New Roman"/>
                <w:sz w:val="20"/>
                <w:szCs w:val="20"/>
                <w:lang w:val="en-US" w:eastAsia="en-US"/>
              </w:rPr>
            </w:pPr>
            <w:r>
              <w:rPr>
                <w:rFonts w:ascii="Times New Roman" w:hAnsi="Times New Roman"/>
                <w:sz w:val="20"/>
                <w:szCs w:val="20"/>
              </w:rPr>
              <w:t>Наименование категорий земель</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ind w:left="-130" w:right="57" w:hanging="0"/>
              <w:contextualSpacing/>
              <w:jc w:val="center"/>
              <w:rPr>
                <w:rFonts w:ascii="Times New Roman" w:hAnsi="Times New Roman"/>
                <w:sz w:val="20"/>
                <w:szCs w:val="20"/>
                <w:lang w:val="en-US"/>
              </w:rPr>
            </w:pPr>
            <w:r>
              <w:rPr>
                <w:rFonts w:ascii="Times New Roman" w:hAnsi="Times New Roman"/>
                <w:sz w:val="20"/>
                <w:szCs w:val="20"/>
                <w:lang w:val="en-US"/>
              </w:rPr>
            </w:r>
          </w:p>
          <w:p>
            <w:pPr>
              <w:pStyle w:val="Normal"/>
              <w:widowControl w:val="false"/>
              <w:spacing w:lineRule="auto" w:line="240" w:before="0" w:after="0"/>
              <w:ind w:left="-130" w:right="57" w:hanging="0"/>
              <w:contextualSpacing/>
              <w:jc w:val="center"/>
              <w:rPr>
                <w:rFonts w:ascii="Times New Roman" w:hAnsi="Times New Roman"/>
                <w:sz w:val="20"/>
                <w:szCs w:val="20"/>
              </w:rPr>
            </w:pPr>
            <w:r>
              <w:rPr>
                <w:rFonts w:ascii="Times New Roman" w:hAnsi="Times New Roman"/>
                <w:sz w:val="20"/>
                <w:szCs w:val="20"/>
              </w:rPr>
              <w:t>На</w:t>
            </w:r>
          </w:p>
          <w:p>
            <w:pPr>
              <w:pStyle w:val="Normal"/>
              <w:widowControl w:val="false"/>
              <w:spacing w:lineRule="auto" w:line="240" w:before="0" w:after="200"/>
              <w:ind w:left="-130" w:right="57" w:hanging="0"/>
              <w:contextualSpacing/>
              <w:jc w:val="center"/>
              <w:rPr>
                <w:rFonts w:ascii="Times New Roman" w:hAnsi="Times New Roman"/>
                <w:sz w:val="20"/>
                <w:szCs w:val="20"/>
              </w:rPr>
            </w:pPr>
            <w:r>
              <w:rPr>
                <w:rFonts w:ascii="Times New Roman" w:hAnsi="Times New Roman"/>
                <w:sz w:val="20"/>
                <w:szCs w:val="20"/>
              </w:rPr>
              <w:t>01.01.</w:t>
            </w:r>
          </w:p>
          <w:p>
            <w:pPr>
              <w:pStyle w:val="Normal"/>
              <w:widowControl w:val="false"/>
              <w:spacing w:lineRule="auto" w:line="240" w:before="0" w:after="200"/>
              <w:ind w:left="-130" w:right="57" w:hanging="0"/>
              <w:contextualSpacing/>
              <w:jc w:val="center"/>
              <w:rPr>
                <w:rFonts w:ascii="Times New Roman" w:hAnsi="Times New Roman"/>
                <w:sz w:val="20"/>
                <w:szCs w:val="20"/>
              </w:rPr>
            </w:pPr>
            <w:r>
              <w:rPr>
                <w:rFonts w:ascii="Times New Roman" w:hAnsi="Times New Roman"/>
                <w:sz w:val="20"/>
                <w:szCs w:val="20"/>
              </w:rPr>
              <w:t>2016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ind w:left="-130" w:right="57" w:hanging="0"/>
              <w:contextualSpacing/>
              <w:jc w:val="center"/>
              <w:rPr>
                <w:rFonts w:ascii="Times New Roman" w:hAnsi="Times New Roman"/>
                <w:sz w:val="20"/>
                <w:szCs w:val="20"/>
                <w:lang w:eastAsia="en-US"/>
              </w:rPr>
            </w:pPr>
            <w:r>
              <w:rPr>
                <w:rFonts w:ascii="Times New Roman" w:hAnsi="Times New Roman"/>
                <w:sz w:val="20"/>
                <w:szCs w:val="20"/>
              </w:rPr>
              <w:t>На</w:t>
            </w:r>
          </w:p>
          <w:p>
            <w:pPr>
              <w:pStyle w:val="Normal"/>
              <w:widowControl w:val="false"/>
              <w:spacing w:lineRule="auto" w:line="240" w:before="0" w:after="200"/>
              <w:ind w:left="-130" w:right="57" w:hanging="0"/>
              <w:contextualSpacing/>
              <w:jc w:val="center"/>
              <w:rPr>
                <w:rFonts w:ascii="Times New Roman" w:hAnsi="Times New Roman"/>
                <w:sz w:val="20"/>
                <w:szCs w:val="20"/>
              </w:rPr>
            </w:pPr>
            <w:r>
              <w:rPr>
                <w:rFonts w:ascii="Times New Roman" w:hAnsi="Times New Roman"/>
                <w:sz w:val="20"/>
                <w:szCs w:val="20"/>
              </w:rPr>
              <w:t>01.01.</w:t>
            </w:r>
          </w:p>
          <w:p>
            <w:pPr>
              <w:pStyle w:val="Normal"/>
              <w:widowControl w:val="false"/>
              <w:spacing w:lineRule="auto" w:line="240" w:before="0" w:after="200"/>
              <w:ind w:left="-130" w:right="57" w:hanging="0"/>
              <w:contextualSpacing/>
              <w:jc w:val="center"/>
              <w:rPr>
                <w:rFonts w:ascii="Times New Roman" w:hAnsi="Times New Roman"/>
                <w:sz w:val="20"/>
                <w:szCs w:val="20"/>
                <w:lang w:eastAsia="en-US"/>
              </w:rPr>
            </w:pPr>
            <w:r>
              <w:rPr>
                <w:rFonts w:ascii="Times New Roman" w:hAnsi="Times New Roman"/>
                <w:sz w:val="20"/>
                <w:szCs w:val="20"/>
              </w:rPr>
              <w:t>2017</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ind w:left="-130" w:right="57" w:hanging="0"/>
              <w:contextualSpacing/>
              <w:jc w:val="center"/>
              <w:rPr>
                <w:rFonts w:ascii="Times New Roman" w:hAnsi="Times New Roman"/>
                <w:sz w:val="20"/>
                <w:szCs w:val="20"/>
                <w:lang w:eastAsia="en-US"/>
              </w:rPr>
            </w:pPr>
            <w:r>
              <w:rPr>
                <w:rFonts w:ascii="Times New Roman" w:hAnsi="Times New Roman"/>
                <w:sz w:val="20"/>
                <w:szCs w:val="20"/>
              </w:rPr>
              <w:t>2016 г.</w:t>
            </w:r>
          </w:p>
          <w:p>
            <w:pPr>
              <w:pStyle w:val="Normal"/>
              <w:widowControl w:val="false"/>
              <w:spacing w:lineRule="auto" w:line="240" w:before="0" w:after="200"/>
              <w:ind w:left="-130" w:right="57" w:hanging="0"/>
              <w:contextualSpacing/>
              <w:jc w:val="center"/>
              <w:rPr>
                <w:rFonts w:ascii="Times New Roman" w:hAnsi="Times New Roman"/>
                <w:sz w:val="20"/>
                <w:szCs w:val="20"/>
              </w:rPr>
            </w:pPr>
            <w:r>
              <w:rPr>
                <w:rFonts w:ascii="Times New Roman" w:hAnsi="Times New Roman"/>
                <w:sz w:val="20"/>
                <w:szCs w:val="20"/>
              </w:rPr>
              <w:t>к 2017 г.</w:t>
            </w:r>
          </w:p>
          <w:p>
            <w:pPr>
              <w:pStyle w:val="Normal"/>
              <w:widowControl w:val="false"/>
              <w:spacing w:lineRule="auto" w:line="240" w:before="0" w:after="200"/>
              <w:ind w:left="-130" w:right="57" w:hanging="0"/>
              <w:contextualSpacing/>
              <w:jc w:val="center"/>
              <w:rPr>
                <w:rFonts w:ascii="Times New Roman" w:hAnsi="Times New Roman"/>
                <w:sz w:val="20"/>
                <w:szCs w:val="20"/>
                <w:lang w:eastAsia="en-US"/>
              </w:rPr>
            </w:pPr>
            <w:r>
              <w:rPr>
                <w:rFonts w:ascii="Times New Roman" w:hAnsi="Times New Roman"/>
                <w:sz w:val="20"/>
                <w:szCs w:val="20"/>
              </w:rPr>
              <w:t>(+ \ –)</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ind w:left="-57" w:right="57" w:hanging="0"/>
              <w:contextualSpacing/>
              <w:jc w:val="center"/>
              <w:rPr>
                <w:rFonts w:ascii="Times New Roman" w:hAnsi="Times New Roman"/>
                <w:sz w:val="20"/>
                <w:szCs w:val="20"/>
                <w:lang w:eastAsia="en-US"/>
              </w:rPr>
            </w:pPr>
            <w:r>
              <w:rPr>
                <w:rFonts w:ascii="Times New Roman" w:hAnsi="Times New Roman"/>
                <w:sz w:val="20"/>
                <w:szCs w:val="20"/>
              </w:rPr>
              <w:t>Изменения</w:t>
            </w:r>
          </w:p>
          <w:p>
            <w:pPr>
              <w:pStyle w:val="Normal"/>
              <w:widowControl w:val="false"/>
              <w:spacing w:lineRule="auto" w:line="240" w:before="0" w:after="200"/>
              <w:ind w:left="-57" w:right="57" w:hanging="0"/>
              <w:contextualSpacing/>
              <w:jc w:val="center"/>
              <w:rPr>
                <w:rFonts w:ascii="Times New Roman" w:hAnsi="Times New Roman"/>
                <w:sz w:val="20"/>
                <w:szCs w:val="20"/>
                <w:lang w:eastAsia="en-US"/>
              </w:rPr>
            </w:pPr>
            <w:r>
              <w:rPr>
                <w:rFonts w:ascii="Times New Roman" w:hAnsi="Times New Roman"/>
                <w:sz w:val="20"/>
                <w:szCs w:val="20"/>
              </w:rPr>
              <w:t>в %</w:t>
            </w:r>
          </w:p>
        </w:tc>
      </w:tr>
      <w:tr>
        <w:trPr>
          <w:trHeight w:val="397" w:hRule="exact"/>
        </w:trPr>
        <w:tc>
          <w:tcPr>
            <w:tcW w:w="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78" w:right="57" w:hanging="0"/>
              <w:jc w:val="center"/>
              <w:rPr>
                <w:rFonts w:ascii="Times New Roman" w:hAnsi="Times New Roman"/>
                <w:sz w:val="20"/>
                <w:szCs w:val="20"/>
                <w:lang w:eastAsia="en-US"/>
              </w:rPr>
            </w:pPr>
            <w:r>
              <w:rPr>
                <w:rFonts w:ascii="Times New Roman" w:hAnsi="Times New Roman"/>
                <w:sz w:val="20"/>
                <w:szCs w:val="20"/>
              </w:rPr>
              <w:t>1</w:t>
            </w:r>
          </w:p>
        </w:tc>
        <w:tc>
          <w:tcPr>
            <w:tcW w:w="3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4" w:right="57" w:hanging="0"/>
              <w:rPr>
                <w:rFonts w:ascii="Times New Roman" w:hAnsi="Times New Roman"/>
                <w:sz w:val="20"/>
                <w:szCs w:val="20"/>
                <w:lang w:eastAsia="en-US"/>
              </w:rPr>
            </w:pPr>
            <w:r>
              <w:rPr>
                <w:rFonts w:ascii="Times New Roman" w:hAnsi="Times New Roman"/>
                <w:sz w:val="20"/>
                <w:szCs w:val="20"/>
              </w:rPr>
              <w:t>Земли сельскохозяйственного назначения</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56" w:hanging="0"/>
              <w:jc w:val="center"/>
              <w:rPr>
                <w:rFonts w:ascii="Times New Roman" w:hAnsi="Times New Roman"/>
                <w:sz w:val="20"/>
                <w:szCs w:val="20"/>
                <w:lang w:val="en-US" w:eastAsia="en-US"/>
              </w:rPr>
            </w:pPr>
            <w:r>
              <w:rPr>
                <w:rFonts w:ascii="Times New Roman" w:hAnsi="Times New Roman"/>
                <w:sz w:val="20"/>
                <w:szCs w:val="20"/>
                <w:lang w:val="en-US" w:eastAsia="en-US"/>
              </w:rPr>
              <w:t>1875,2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1862,3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-12,9</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87" w:hanging="0"/>
              <w:jc w:val="center"/>
              <w:rPr>
                <w:rFonts w:ascii="Times New Roman" w:hAnsi="Times New Roman"/>
                <w:sz w:val="20"/>
                <w:szCs w:val="20"/>
                <w:lang w:eastAsia="en-US"/>
              </w:rPr>
            </w:pPr>
            <w:r>
              <w:rPr>
                <w:rFonts w:ascii="Times New Roman" w:hAnsi="Times New Roman"/>
                <w:sz w:val="20"/>
                <w:szCs w:val="20"/>
                <w:lang w:eastAsia="en-US"/>
              </w:rPr>
              <w:t>-0,7</w:t>
            </w:r>
          </w:p>
        </w:tc>
      </w:tr>
      <w:tr>
        <w:trPr>
          <w:trHeight w:val="531" w:hRule="exact"/>
        </w:trPr>
        <w:tc>
          <w:tcPr>
            <w:tcW w:w="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78" w:right="57" w:hanging="0"/>
              <w:jc w:val="center"/>
              <w:rPr>
                <w:rFonts w:ascii="Times New Roman" w:hAnsi="Times New Roman"/>
                <w:sz w:val="20"/>
                <w:szCs w:val="20"/>
                <w:lang w:eastAsia="en-US"/>
              </w:rPr>
            </w:pPr>
            <w:r>
              <w:rPr>
                <w:rFonts w:ascii="Times New Roman" w:hAnsi="Times New Roman"/>
                <w:sz w:val="20"/>
                <w:szCs w:val="20"/>
              </w:rPr>
              <w:t>2</w:t>
            </w:r>
          </w:p>
        </w:tc>
        <w:tc>
          <w:tcPr>
            <w:tcW w:w="3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57" w:hanging="0"/>
              <w:rPr>
                <w:rFonts w:ascii="Times New Roman" w:hAnsi="Times New Roman"/>
                <w:sz w:val="20"/>
                <w:szCs w:val="20"/>
              </w:rPr>
            </w:pPr>
            <w:r>
              <w:rPr>
                <w:rFonts w:ascii="Times New Roman" w:hAnsi="Times New Roman"/>
                <w:sz w:val="20"/>
                <w:szCs w:val="20"/>
              </w:rPr>
              <w:t>Земли населенных пунктов, в т.ч. т.ч.числе:</w:t>
            </w:r>
          </w:p>
          <w:p>
            <w:pPr>
              <w:pStyle w:val="Normal"/>
              <w:widowControl w:val="false"/>
              <w:ind w:left="14" w:right="57" w:hanging="0"/>
              <w:rPr>
                <w:rFonts w:ascii="Times New Roman" w:hAnsi="Times New Roman"/>
                <w:sz w:val="20"/>
                <w:szCs w:val="20"/>
              </w:rPr>
            </w:pPr>
            <w:r>
              <w:rPr>
                <w:rFonts w:ascii="Times New Roman" w:hAnsi="Times New Roman"/>
                <w:sz w:val="20"/>
                <w:szCs w:val="20"/>
              </w:rPr>
            </w:r>
          </w:p>
          <w:p>
            <w:pPr>
              <w:pStyle w:val="Normal"/>
              <w:widowControl w:val="false"/>
              <w:ind w:left="14" w:right="57" w:hanging="0"/>
              <w:rPr>
                <w:rFonts w:ascii="Times New Roman" w:hAnsi="Times New Roman"/>
                <w:sz w:val="20"/>
                <w:szCs w:val="20"/>
              </w:rPr>
            </w:pPr>
            <w:r>
              <w:rPr>
                <w:rFonts w:ascii="Times New Roman" w:hAnsi="Times New Roman"/>
                <w:sz w:val="20"/>
                <w:szCs w:val="20"/>
              </w:rPr>
            </w:r>
          </w:p>
          <w:p>
            <w:pPr>
              <w:pStyle w:val="Normal"/>
              <w:widowControl w:val="false"/>
              <w:ind w:left="14" w:right="57" w:hanging="0"/>
              <w:rPr>
                <w:rFonts w:ascii="Times New Roman" w:hAnsi="Times New Roman"/>
                <w:sz w:val="20"/>
                <w:szCs w:val="20"/>
              </w:rPr>
            </w:pPr>
            <w:r>
              <w:rPr>
                <w:rFonts w:ascii="Times New Roman" w:hAnsi="Times New Roman"/>
                <w:sz w:val="20"/>
                <w:szCs w:val="20"/>
              </w:rPr>
            </w:r>
          </w:p>
          <w:p>
            <w:pPr>
              <w:pStyle w:val="Normal"/>
              <w:widowControl w:val="false"/>
              <w:spacing w:before="0" w:after="200"/>
              <w:ind w:left="14" w:right="57" w:hanging="0"/>
              <w:rPr>
                <w:rFonts w:ascii="Times New Roman" w:hAnsi="Times New Roman"/>
                <w:sz w:val="20"/>
                <w:szCs w:val="20"/>
                <w:lang w:eastAsia="en-US"/>
              </w:rPr>
            </w:pPr>
            <w:r>
              <w:rPr>
                <w:rFonts w:ascii="Times New Roman" w:hAnsi="Times New Roman"/>
                <w:sz w:val="20"/>
                <w:szCs w:val="20"/>
                <w:lang w:eastAsia="en-US"/>
              </w:rPr>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56" w:hanging="0"/>
              <w:jc w:val="center"/>
              <w:rPr>
                <w:rFonts w:ascii="Times New Roman" w:hAnsi="Times New Roman"/>
                <w:sz w:val="20"/>
                <w:szCs w:val="20"/>
                <w:lang w:val="en-US" w:eastAsia="en-US"/>
              </w:rPr>
            </w:pPr>
            <w:r>
              <w:rPr>
                <w:rFonts w:ascii="Times New Roman" w:hAnsi="Times New Roman"/>
                <w:sz w:val="20"/>
                <w:szCs w:val="20"/>
                <w:lang w:val="en-US" w:eastAsia="en-US"/>
              </w:rPr>
              <w:t>249,4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249,4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87" w:hanging="0"/>
              <w:jc w:val="center"/>
              <w:rPr>
                <w:rFonts w:ascii="Times New Roman" w:hAnsi="Times New Roman"/>
                <w:sz w:val="20"/>
                <w:szCs w:val="20"/>
                <w:lang w:eastAsia="en-US"/>
              </w:rPr>
            </w:pPr>
            <w:r>
              <w:rPr>
                <w:rFonts w:ascii="Times New Roman" w:hAnsi="Times New Roman"/>
                <w:sz w:val="20"/>
                <w:szCs w:val="20"/>
                <w:lang w:eastAsia="en-US"/>
              </w:rPr>
              <w:t>-</w:t>
            </w:r>
          </w:p>
        </w:tc>
      </w:tr>
      <w:tr>
        <w:trPr>
          <w:trHeight w:val="397" w:hRule="exact"/>
        </w:trPr>
        <w:tc>
          <w:tcPr>
            <w:tcW w:w="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78" w:right="57" w:hanging="0"/>
              <w:jc w:val="center"/>
              <w:rPr>
                <w:rFonts w:ascii="Times New Roman" w:hAnsi="Times New Roman"/>
                <w:sz w:val="20"/>
                <w:szCs w:val="20"/>
                <w:lang w:eastAsia="en-US"/>
              </w:rPr>
            </w:pPr>
            <w:r>
              <w:rPr>
                <w:rFonts w:ascii="Times New Roman" w:hAnsi="Times New Roman"/>
                <w:sz w:val="20"/>
                <w:szCs w:val="20"/>
              </w:rPr>
              <w:t>2.1</w:t>
            </w:r>
          </w:p>
        </w:tc>
        <w:tc>
          <w:tcPr>
            <w:tcW w:w="3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4" w:right="57" w:hanging="0"/>
              <w:rPr>
                <w:rFonts w:ascii="Times New Roman" w:hAnsi="Times New Roman"/>
                <w:sz w:val="20"/>
                <w:szCs w:val="20"/>
                <w:lang w:eastAsia="en-US"/>
              </w:rPr>
            </w:pPr>
            <w:r>
              <w:rPr>
                <w:rFonts w:ascii="Times New Roman" w:hAnsi="Times New Roman"/>
                <w:sz w:val="20"/>
                <w:szCs w:val="20"/>
              </w:rPr>
              <w:t>городских населенных пунктов</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56" w:hanging="0"/>
              <w:jc w:val="center"/>
              <w:rPr>
                <w:rFonts w:ascii="Times New Roman" w:hAnsi="Times New Roman"/>
                <w:sz w:val="20"/>
                <w:szCs w:val="20"/>
                <w:lang w:val="en-US" w:eastAsia="en-US"/>
              </w:rPr>
            </w:pPr>
            <w:r>
              <w:rPr>
                <w:rFonts w:ascii="Times New Roman" w:hAnsi="Times New Roman"/>
                <w:sz w:val="20"/>
                <w:szCs w:val="20"/>
                <w:lang w:val="en-US" w:eastAsia="en-US"/>
              </w:rPr>
              <w:t>153,9</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153,9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87" w:hanging="0"/>
              <w:jc w:val="center"/>
              <w:rPr>
                <w:rFonts w:ascii="Times New Roman" w:hAnsi="Times New Roman"/>
                <w:sz w:val="20"/>
                <w:szCs w:val="20"/>
                <w:lang w:eastAsia="en-US"/>
              </w:rPr>
            </w:pPr>
            <w:r>
              <w:rPr>
                <w:rFonts w:ascii="Times New Roman" w:hAnsi="Times New Roman"/>
                <w:sz w:val="20"/>
                <w:szCs w:val="20"/>
                <w:lang w:eastAsia="en-US"/>
              </w:rPr>
              <w:t>-</w:t>
            </w:r>
          </w:p>
        </w:tc>
      </w:tr>
      <w:tr>
        <w:trPr>
          <w:trHeight w:val="397" w:hRule="exact"/>
        </w:trPr>
        <w:tc>
          <w:tcPr>
            <w:tcW w:w="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78" w:right="57" w:hanging="0"/>
              <w:jc w:val="center"/>
              <w:rPr>
                <w:rFonts w:ascii="Times New Roman" w:hAnsi="Times New Roman"/>
                <w:sz w:val="20"/>
                <w:szCs w:val="20"/>
                <w:lang w:eastAsia="en-US"/>
              </w:rPr>
            </w:pPr>
            <w:r>
              <w:rPr>
                <w:rFonts w:ascii="Times New Roman" w:hAnsi="Times New Roman"/>
                <w:sz w:val="20"/>
                <w:szCs w:val="20"/>
              </w:rPr>
              <w:t>2.2</w:t>
            </w:r>
          </w:p>
        </w:tc>
        <w:tc>
          <w:tcPr>
            <w:tcW w:w="3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4" w:right="57" w:hanging="0"/>
              <w:rPr>
                <w:rFonts w:ascii="Times New Roman" w:hAnsi="Times New Roman"/>
                <w:sz w:val="20"/>
                <w:szCs w:val="20"/>
                <w:lang w:eastAsia="en-US"/>
              </w:rPr>
            </w:pPr>
            <w:r>
              <w:rPr>
                <w:rFonts w:ascii="Times New Roman" w:hAnsi="Times New Roman"/>
                <w:sz w:val="20"/>
                <w:szCs w:val="20"/>
              </w:rPr>
              <w:t>сельских поселений</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56" w:hanging="0"/>
              <w:jc w:val="center"/>
              <w:rPr>
                <w:rFonts w:ascii="Times New Roman" w:hAnsi="Times New Roman"/>
                <w:sz w:val="20"/>
                <w:szCs w:val="20"/>
                <w:lang w:val="en-US" w:eastAsia="en-US"/>
              </w:rPr>
            </w:pPr>
            <w:r>
              <w:rPr>
                <w:rFonts w:ascii="Times New Roman" w:hAnsi="Times New Roman"/>
                <w:sz w:val="20"/>
                <w:szCs w:val="20"/>
                <w:lang w:val="en-US" w:eastAsia="en-US"/>
              </w:rPr>
              <w:t>95,5</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95,5</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87" w:hanging="0"/>
              <w:jc w:val="center"/>
              <w:rPr>
                <w:rFonts w:ascii="Times New Roman" w:hAnsi="Times New Roman"/>
                <w:sz w:val="20"/>
                <w:szCs w:val="20"/>
                <w:lang w:eastAsia="en-US"/>
              </w:rPr>
            </w:pPr>
            <w:r>
              <w:rPr>
                <w:rFonts w:ascii="Times New Roman" w:hAnsi="Times New Roman"/>
                <w:sz w:val="20"/>
                <w:szCs w:val="20"/>
                <w:lang w:eastAsia="en-US"/>
              </w:rPr>
              <w:t>-</w:t>
            </w:r>
          </w:p>
        </w:tc>
      </w:tr>
      <w:tr>
        <w:trPr>
          <w:trHeight w:val="510" w:hRule="exact"/>
        </w:trPr>
        <w:tc>
          <w:tcPr>
            <w:tcW w:w="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78" w:right="57" w:hanging="0"/>
              <w:jc w:val="center"/>
              <w:rPr>
                <w:rFonts w:ascii="Times New Roman" w:hAnsi="Times New Roman"/>
                <w:sz w:val="20"/>
                <w:szCs w:val="20"/>
                <w:lang w:eastAsia="en-US"/>
              </w:rPr>
            </w:pPr>
            <w:r>
              <w:rPr>
                <w:rFonts w:ascii="Times New Roman" w:hAnsi="Times New Roman"/>
                <w:sz w:val="20"/>
                <w:szCs w:val="20"/>
              </w:rPr>
              <w:t>3</w:t>
            </w:r>
          </w:p>
        </w:tc>
        <w:tc>
          <w:tcPr>
            <w:tcW w:w="3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4" w:right="57" w:hanging="0"/>
              <w:rPr>
                <w:rFonts w:ascii="Times New Roman" w:hAnsi="Times New Roman"/>
                <w:sz w:val="20"/>
                <w:szCs w:val="20"/>
                <w:lang w:eastAsia="en-US"/>
              </w:rPr>
            </w:pPr>
            <w:r>
              <w:rPr>
                <w:rFonts w:ascii="Times New Roman" w:hAnsi="Times New Roman"/>
                <w:sz w:val="20"/>
                <w:szCs w:val="20"/>
              </w:rPr>
              <w:t>Земли промышленности и иного специального назначения</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56" w:hanging="0"/>
              <w:jc w:val="center"/>
              <w:rPr>
                <w:rFonts w:ascii="Times New Roman" w:hAnsi="Times New Roman"/>
                <w:sz w:val="20"/>
                <w:szCs w:val="20"/>
                <w:lang w:val="en-US" w:eastAsia="en-US"/>
              </w:rPr>
            </w:pPr>
            <w:r>
              <w:rPr>
                <w:rFonts w:ascii="Times New Roman" w:hAnsi="Times New Roman"/>
                <w:sz w:val="20"/>
                <w:szCs w:val="20"/>
                <w:lang w:val="en-US" w:eastAsia="en-US"/>
              </w:rPr>
              <w:t>358,7</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384,3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+0,3</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87" w:hanging="0"/>
              <w:jc w:val="center"/>
              <w:rPr>
                <w:rFonts w:ascii="Times New Roman" w:hAnsi="Times New Roman"/>
                <w:sz w:val="20"/>
                <w:szCs w:val="20"/>
                <w:lang w:eastAsia="en-US"/>
              </w:rPr>
            </w:pPr>
            <w:r>
              <w:rPr>
                <w:rFonts w:ascii="Times New Roman" w:hAnsi="Times New Roman"/>
                <w:sz w:val="20"/>
                <w:szCs w:val="20"/>
                <w:lang w:eastAsia="en-US"/>
              </w:rPr>
              <w:t>+0,08</w:t>
            </w:r>
          </w:p>
        </w:tc>
      </w:tr>
      <w:tr>
        <w:trPr>
          <w:trHeight w:val="510" w:hRule="exact"/>
        </w:trPr>
        <w:tc>
          <w:tcPr>
            <w:tcW w:w="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78" w:right="57" w:hanging="0"/>
              <w:jc w:val="center"/>
              <w:rPr>
                <w:rFonts w:ascii="Times New Roman" w:hAnsi="Times New Roman"/>
                <w:sz w:val="20"/>
                <w:szCs w:val="20"/>
                <w:lang w:val="en-US" w:eastAsia="en-US"/>
              </w:rPr>
            </w:pPr>
            <w:r>
              <w:rPr>
                <w:rFonts w:ascii="Times New Roman" w:hAnsi="Times New Roman"/>
                <w:sz w:val="20"/>
                <w:szCs w:val="20"/>
              </w:rPr>
              <w:t>4</w:t>
            </w:r>
          </w:p>
        </w:tc>
        <w:tc>
          <w:tcPr>
            <w:tcW w:w="3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4" w:right="57" w:hanging="0"/>
              <w:rPr>
                <w:rFonts w:ascii="Times New Roman" w:hAnsi="Times New Roman"/>
                <w:sz w:val="20"/>
                <w:szCs w:val="20"/>
                <w:lang w:eastAsia="en-US"/>
              </w:rPr>
            </w:pPr>
            <w:r>
              <w:rPr>
                <w:rFonts w:ascii="Times New Roman" w:hAnsi="Times New Roman"/>
                <w:sz w:val="20"/>
                <w:szCs w:val="20"/>
              </w:rPr>
              <w:t>Земли особо охраняемых территорий и объектов</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56" w:hanging="0"/>
              <w:jc w:val="center"/>
              <w:rPr>
                <w:rFonts w:ascii="Times New Roman" w:hAnsi="Times New Roman"/>
                <w:sz w:val="20"/>
                <w:szCs w:val="20"/>
                <w:lang w:val="en-US" w:eastAsia="en-US"/>
              </w:rPr>
            </w:pPr>
            <w:r>
              <w:rPr>
                <w:rFonts w:ascii="Times New Roman" w:hAnsi="Times New Roman"/>
                <w:sz w:val="20"/>
                <w:szCs w:val="20"/>
                <w:lang w:val="en-US" w:eastAsia="en-US"/>
              </w:rPr>
              <w:t>842,3</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847,3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rPr>
            </w:pPr>
            <w:r>
              <w:rPr>
                <w:rFonts w:ascii="Times New Roman" w:hAnsi="Times New Roman"/>
                <w:sz w:val="20"/>
                <w:szCs w:val="20"/>
              </w:rPr>
              <w:t>+5</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87" w:hanging="0"/>
              <w:jc w:val="center"/>
              <w:rPr>
                <w:rFonts w:ascii="Times New Roman" w:hAnsi="Times New Roman"/>
                <w:sz w:val="20"/>
                <w:szCs w:val="20"/>
                <w:lang w:eastAsia="en-US"/>
              </w:rPr>
            </w:pPr>
            <w:r>
              <w:rPr>
                <w:rFonts w:ascii="Times New Roman" w:hAnsi="Times New Roman"/>
                <w:sz w:val="20"/>
                <w:szCs w:val="20"/>
                <w:lang w:eastAsia="en-US"/>
              </w:rPr>
              <w:t>+0,6</w:t>
            </w:r>
          </w:p>
        </w:tc>
      </w:tr>
      <w:tr>
        <w:trPr>
          <w:trHeight w:val="397" w:hRule="exact"/>
        </w:trPr>
        <w:tc>
          <w:tcPr>
            <w:tcW w:w="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78" w:right="57" w:hanging="0"/>
              <w:jc w:val="center"/>
              <w:rPr>
                <w:rFonts w:ascii="Times New Roman" w:hAnsi="Times New Roman"/>
                <w:sz w:val="20"/>
                <w:szCs w:val="20"/>
                <w:lang w:val="en-US" w:eastAsia="en-US"/>
              </w:rPr>
            </w:pPr>
            <w:r>
              <w:rPr>
                <w:rFonts w:ascii="Times New Roman" w:hAnsi="Times New Roman"/>
                <w:sz w:val="20"/>
                <w:szCs w:val="20"/>
              </w:rPr>
              <w:t>5</w:t>
            </w:r>
          </w:p>
        </w:tc>
        <w:tc>
          <w:tcPr>
            <w:tcW w:w="3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4" w:right="57" w:hanging="0"/>
              <w:rPr>
                <w:rFonts w:ascii="Times New Roman" w:hAnsi="Times New Roman"/>
                <w:sz w:val="20"/>
                <w:szCs w:val="20"/>
                <w:lang w:val="en-US" w:eastAsia="en-US"/>
              </w:rPr>
            </w:pPr>
            <w:r>
              <w:rPr>
                <w:rFonts w:ascii="Times New Roman" w:hAnsi="Times New Roman"/>
                <w:sz w:val="20"/>
                <w:szCs w:val="20"/>
              </w:rPr>
              <w:t>Земли лесного фонда</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56" w:hanging="0"/>
              <w:jc w:val="center"/>
              <w:rPr>
                <w:rFonts w:ascii="Times New Roman" w:hAnsi="Times New Roman"/>
                <w:sz w:val="20"/>
                <w:szCs w:val="20"/>
                <w:lang w:val="en-US" w:eastAsia="en-US"/>
              </w:rPr>
            </w:pPr>
            <w:r>
              <w:rPr>
                <w:rFonts w:ascii="Times New Roman" w:hAnsi="Times New Roman"/>
                <w:sz w:val="20"/>
                <w:szCs w:val="20"/>
                <w:lang w:val="en-US" w:eastAsia="en-US"/>
              </w:rPr>
              <w:t>12141,9</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12150,9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+9</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87" w:hanging="0"/>
              <w:jc w:val="center"/>
              <w:rPr>
                <w:rFonts w:ascii="Times New Roman" w:hAnsi="Times New Roman"/>
                <w:sz w:val="20"/>
                <w:szCs w:val="20"/>
                <w:lang w:eastAsia="en-US"/>
              </w:rPr>
            </w:pPr>
            <w:r>
              <w:rPr>
                <w:rFonts w:ascii="Times New Roman" w:hAnsi="Times New Roman"/>
                <w:sz w:val="20"/>
                <w:szCs w:val="20"/>
                <w:lang w:eastAsia="en-US"/>
              </w:rPr>
              <w:t>+0,07</w:t>
            </w:r>
          </w:p>
        </w:tc>
      </w:tr>
      <w:tr>
        <w:trPr>
          <w:trHeight w:val="397" w:hRule="exact"/>
        </w:trPr>
        <w:tc>
          <w:tcPr>
            <w:tcW w:w="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78" w:right="57" w:hanging="0"/>
              <w:jc w:val="center"/>
              <w:rPr>
                <w:rFonts w:ascii="Times New Roman" w:hAnsi="Times New Roman"/>
                <w:sz w:val="20"/>
                <w:szCs w:val="20"/>
                <w:lang w:val="en-US" w:eastAsia="en-US"/>
              </w:rPr>
            </w:pPr>
            <w:r>
              <w:rPr>
                <w:rFonts w:ascii="Times New Roman" w:hAnsi="Times New Roman"/>
                <w:sz w:val="20"/>
                <w:szCs w:val="20"/>
              </w:rPr>
              <w:t>6</w:t>
            </w:r>
          </w:p>
        </w:tc>
        <w:tc>
          <w:tcPr>
            <w:tcW w:w="3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4" w:right="57" w:hanging="0"/>
              <w:rPr>
                <w:rFonts w:ascii="Times New Roman" w:hAnsi="Times New Roman"/>
                <w:sz w:val="20"/>
                <w:szCs w:val="20"/>
                <w:lang w:val="en-US" w:eastAsia="en-US"/>
              </w:rPr>
            </w:pPr>
            <w:r>
              <w:rPr>
                <w:rFonts w:ascii="Times New Roman" w:hAnsi="Times New Roman"/>
                <w:sz w:val="20"/>
                <w:szCs w:val="20"/>
              </w:rPr>
              <w:t>Земли водного фонда</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56" w:hanging="0"/>
              <w:jc w:val="center"/>
              <w:rPr>
                <w:rFonts w:ascii="Times New Roman" w:hAnsi="Times New Roman"/>
                <w:sz w:val="20"/>
                <w:szCs w:val="20"/>
                <w:lang w:val="en-US" w:eastAsia="en-US"/>
              </w:rPr>
            </w:pPr>
            <w:r>
              <w:rPr>
                <w:rFonts w:ascii="Times New Roman" w:hAnsi="Times New Roman"/>
                <w:sz w:val="20"/>
                <w:szCs w:val="20"/>
                <w:lang w:val="en-US" w:eastAsia="en-US"/>
              </w:rPr>
              <w:t>323,2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323,2</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87" w:hanging="0"/>
              <w:jc w:val="center"/>
              <w:rPr>
                <w:rFonts w:ascii="Times New Roman" w:hAnsi="Times New Roman"/>
                <w:sz w:val="20"/>
                <w:szCs w:val="20"/>
                <w:lang w:eastAsia="en-US"/>
              </w:rPr>
            </w:pPr>
            <w:r>
              <w:rPr>
                <w:rFonts w:ascii="Times New Roman" w:hAnsi="Times New Roman"/>
                <w:sz w:val="20"/>
                <w:szCs w:val="20"/>
                <w:lang w:eastAsia="en-US"/>
              </w:rPr>
              <w:t>-</w:t>
            </w:r>
          </w:p>
        </w:tc>
      </w:tr>
      <w:tr>
        <w:trPr>
          <w:trHeight w:val="397" w:hRule="exact"/>
        </w:trPr>
        <w:tc>
          <w:tcPr>
            <w:tcW w:w="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78" w:right="57" w:hanging="0"/>
              <w:jc w:val="center"/>
              <w:rPr>
                <w:rFonts w:ascii="Times New Roman" w:hAnsi="Times New Roman"/>
                <w:sz w:val="20"/>
                <w:szCs w:val="20"/>
                <w:lang w:val="en-US" w:eastAsia="en-US"/>
              </w:rPr>
            </w:pPr>
            <w:r>
              <w:rPr>
                <w:rFonts w:ascii="Times New Roman" w:hAnsi="Times New Roman"/>
                <w:sz w:val="20"/>
                <w:szCs w:val="20"/>
              </w:rPr>
              <w:t>7</w:t>
            </w:r>
          </w:p>
        </w:tc>
        <w:tc>
          <w:tcPr>
            <w:tcW w:w="3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4" w:right="57" w:hanging="0"/>
              <w:rPr>
                <w:rFonts w:ascii="Times New Roman" w:hAnsi="Times New Roman"/>
                <w:sz w:val="20"/>
                <w:szCs w:val="20"/>
                <w:lang w:val="en-US" w:eastAsia="en-US"/>
              </w:rPr>
            </w:pPr>
            <w:r>
              <w:rPr>
                <w:rFonts w:ascii="Times New Roman" w:hAnsi="Times New Roman"/>
                <w:sz w:val="20"/>
                <w:szCs w:val="20"/>
              </w:rPr>
              <w:t>Земли запаса</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56" w:hanging="0"/>
              <w:jc w:val="center"/>
              <w:rPr>
                <w:rFonts w:ascii="Times New Roman" w:hAnsi="Times New Roman"/>
                <w:sz w:val="20"/>
                <w:szCs w:val="20"/>
                <w:lang w:val="en-US" w:eastAsia="en-US"/>
              </w:rPr>
            </w:pPr>
            <w:r>
              <w:rPr>
                <w:rFonts w:ascii="Times New Roman" w:hAnsi="Times New Roman"/>
                <w:sz w:val="20"/>
                <w:szCs w:val="20"/>
                <w:lang w:val="en-US" w:eastAsia="en-US"/>
              </w:rPr>
              <w:t>676,6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649,9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sz w:val="20"/>
                <w:szCs w:val="20"/>
                <w:lang w:eastAsia="en-US"/>
              </w:rPr>
            </w:pPr>
            <w:r>
              <w:rPr>
                <w:rFonts w:ascii="Times New Roman" w:hAnsi="Times New Roman"/>
                <w:sz w:val="20"/>
                <w:szCs w:val="20"/>
                <w:lang w:eastAsia="en-US"/>
              </w:rPr>
              <w:t>-1,4</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87" w:hanging="0"/>
              <w:jc w:val="center"/>
              <w:rPr>
                <w:rFonts w:ascii="Times New Roman" w:hAnsi="Times New Roman"/>
                <w:sz w:val="20"/>
                <w:szCs w:val="20"/>
                <w:lang w:eastAsia="en-US"/>
              </w:rPr>
            </w:pPr>
            <w:r>
              <w:rPr>
                <w:rFonts w:ascii="Times New Roman" w:hAnsi="Times New Roman"/>
                <w:sz w:val="20"/>
                <w:szCs w:val="20"/>
                <w:lang w:eastAsia="en-US"/>
              </w:rPr>
              <w:t>-0,2</w:t>
            </w:r>
          </w:p>
        </w:tc>
      </w:tr>
      <w:tr>
        <w:trPr>
          <w:trHeight w:val="397" w:hRule="exact"/>
        </w:trPr>
        <w:tc>
          <w:tcPr>
            <w:tcW w:w="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7" w:firstLine="25"/>
              <w:jc w:val="center"/>
              <w:rPr>
                <w:rFonts w:ascii="Times New Roman" w:hAnsi="Times New Roman"/>
                <w:sz w:val="20"/>
                <w:szCs w:val="20"/>
                <w:lang w:val="en-US" w:eastAsia="en-US"/>
              </w:rPr>
            </w:pPr>
            <w:r>
              <w:rPr>
                <w:rFonts w:ascii="Times New Roman" w:hAnsi="Times New Roman"/>
                <w:sz w:val="20"/>
                <w:szCs w:val="20"/>
                <w:lang w:val="en-US" w:eastAsia="en-US"/>
              </w:rPr>
            </w:r>
          </w:p>
        </w:tc>
        <w:tc>
          <w:tcPr>
            <w:tcW w:w="3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7" w:hanging="0"/>
              <w:rPr>
                <w:rFonts w:ascii="Times New Roman" w:hAnsi="Times New Roman"/>
                <w:b/>
                <w:b/>
                <w:bCs/>
                <w:iCs/>
                <w:sz w:val="20"/>
                <w:szCs w:val="20"/>
                <w:lang w:eastAsia="en-US"/>
              </w:rPr>
            </w:pPr>
            <w:r>
              <w:rPr>
                <w:rFonts w:ascii="Times New Roman" w:hAnsi="Times New Roman"/>
                <w:b/>
                <w:bCs/>
                <w:iCs/>
                <w:sz w:val="20"/>
                <w:szCs w:val="20"/>
              </w:rPr>
              <w:t>Итого земель в Приморском крае</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b/>
                <w:b/>
                <w:bCs/>
                <w:iCs/>
                <w:sz w:val="20"/>
                <w:szCs w:val="20"/>
                <w:lang w:val="en-US" w:eastAsia="en-US"/>
              </w:rPr>
            </w:pPr>
            <w:r>
              <w:rPr>
                <w:rFonts w:ascii="Times New Roman" w:hAnsi="Times New Roman"/>
                <w:b/>
                <w:bCs/>
                <w:iCs/>
                <w:sz w:val="20"/>
                <w:szCs w:val="20"/>
              </w:rPr>
              <w:t>16467,3</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b/>
                <w:b/>
                <w:bCs/>
                <w:iCs/>
                <w:sz w:val="20"/>
                <w:szCs w:val="20"/>
                <w:lang w:eastAsia="en-US"/>
              </w:rPr>
            </w:pPr>
            <w:r>
              <w:rPr>
                <w:rFonts w:ascii="Times New Roman" w:hAnsi="Times New Roman"/>
                <w:b/>
                <w:bCs/>
                <w:iCs/>
                <w:sz w:val="20"/>
                <w:szCs w:val="20"/>
                <w:lang w:eastAsia="en-US"/>
              </w:rPr>
              <w:t>16467,3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56" w:hanging="0"/>
              <w:jc w:val="center"/>
              <w:rPr>
                <w:rFonts w:ascii="Times New Roman" w:hAnsi="Times New Roman"/>
                <w:b/>
                <w:b/>
                <w:bCs/>
                <w:i/>
                <w:i/>
                <w:iCs/>
                <w:sz w:val="20"/>
                <w:szCs w:val="20"/>
                <w:lang w:val="en-US" w:eastAsia="en-US"/>
              </w:rPr>
            </w:pPr>
            <w:r>
              <w:rPr>
                <w:rFonts w:ascii="Times New Roman" w:hAnsi="Times New Roman"/>
                <w:b/>
                <w:bCs/>
                <w:i/>
                <w:iCs/>
                <w:sz w:val="20"/>
                <w:szCs w:val="20"/>
                <w:lang w:val="en-US" w:eastAsia="en-US"/>
              </w:rPr>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87" w:hanging="0"/>
              <w:jc w:val="center"/>
              <w:rPr>
                <w:rFonts w:ascii="Times New Roman" w:hAnsi="Times New Roman"/>
                <w:b/>
                <w:b/>
                <w:bCs/>
                <w:i/>
                <w:i/>
                <w:iCs/>
                <w:sz w:val="20"/>
                <w:szCs w:val="20"/>
                <w:lang w:val="en-US" w:eastAsia="en-US"/>
              </w:rPr>
            </w:pPr>
            <w:r>
              <w:rPr>
                <w:rFonts w:ascii="Times New Roman" w:hAnsi="Times New Roman"/>
                <w:b/>
                <w:bCs/>
                <w:i/>
                <w:iCs/>
                <w:sz w:val="20"/>
                <w:szCs w:val="20"/>
                <w:lang w:val="en-US" w:eastAsia="en-US"/>
              </w:rPr>
            </w:r>
          </w:p>
        </w:tc>
      </w:tr>
    </w:tbl>
    <w:p>
      <w:pPr>
        <w:pStyle w:val="NormalWeb"/>
        <w:spacing w:lineRule="auto" w:line="240" w:before="0" w:after="0"/>
        <w:ind w:firstLine="709"/>
        <w:jc w:val="both"/>
        <w:rPr>
          <w:rFonts w:ascii="Times New Roman" w:hAnsi="Times New Roman" w:cs="Times New Roman"/>
          <w:sz w:val="26"/>
          <w:szCs w:val="26"/>
        </w:rPr>
      </w:pPr>
      <w:r>
        <w:rPr>
          <w:rFonts w:cs="Times New Roman" w:ascii="Times New Roman" w:hAnsi="Times New Roman"/>
          <w:sz w:val="26"/>
          <w:szCs w:val="26"/>
        </w:rPr>
      </w:r>
    </w:p>
    <w:p>
      <w:pPr>
        <w:pStyle w:val="NormalWeb"/>
        <w:spacing w:lineRule="auto" w:line="240" w:before="0" w:after="200"/>
        <w:ind w:firstLine="709"/>
        <w:contextualSpacing/>
        <w:jc w:val="both"/>
        <w:rPr>
          <w:rFonts w:ascii="Times New Roman" w:hAnsi="Times New Roman"/>
          <w:sz w:val="28"/>
          <w:szCs w:val="28"/>
          <w:lang w:val="ru-RU"/>
        </w:rPr>
      </w:pPr>
      <w:bookmarkStart w:id="55" w:name="_Toc256850160"/>
      <w:bookmarkStart w:id="56" w:name="_Toc130628059"/>
      <w:bookmarkStart w:id="57" w:name="_Toc97106160"/>
      <w:bookmarkStart w:id="58" w:name="_Toc96823385"/>
      <w:bookmarkStart w:id="59" w:name="_Toc65489216"/>
      <w:bookmarkStart w:id="60" w:name="_Toc34560171"/>
      <w:bookmarkStart w:id="61" w:name="_Toc34560081"/>
      <w:bookmarkStart w:id="62" w:name="_Toc34560033"/>
      <w:bookmarkStart w:id="63" w:name="_Toc34559181"/>
      <w:bookmarkStart w:id="64" w:name="_Toc34559004"/>
      <w:bookmarkStart w:id="65" w:name="_Toc34558204"/>
      <w:bookmarkStart w:id="66" w:name="_Toc34212834"/>
      <w:bookmarkStart w:id="67" w:name="_Toc3032269"/>
      <w:r>
        <w:rPr>
          <w:rFonts w:ascii="Times New Roman" w:hAnsi="Times New Roman"/>
          <w:sz w:val="28"/>
          <w:szCs w:val="28"/>
          <w:lang w:val="ru-RU"/>
        </w:rPr>
        <w:t>Земли сельскохозяйственного назначения уменьшились на 12,9 тыс. га за счет перевода в земли промышленности, а также за счет земель особо охраняемых территорий и земель лесного фонда при первоначально неверном отнесении земельных участков к категориям земель.</w:t>
      </w:r>
    </w:p>
    <w:p>
      <w:pPr>
        <w:pStyle w:val="NormalWeb"/>
        <w:spacing w:lineRule="auto" w:line="240" w:before="0" w:after="200"/>
        <w:ind w:firstLine="709"/>
        <w:contextualSpacing/>
        <w:jc w:val="both"/>
        <w:rPr>
          <w:rFonts w:ascii="Times New Roman" w:hAnsi="Times New Roman" w:eastAsia="" w:cs="Times New Roman" w:eastAsiaTheme="minorEastAsia"/>
          <w:sz w:val="28"/>
          <w:szCs w:val="28"/>
          <w:lang w:val="ru-RU"/>
        </w:rPr>
      </w:pPr>
      <w:r>
        <w:rPr>
          <w:rFonts w:cs="Times New Roman" w:ascii="Times New Roman" w:hAnsi="Times New Roman"/>
          <w:sz w:val="28"/>
          <w:szCs w:val="28"/>
          <w:lang w:val="ru-RU"/>
        </w:rPr>
        <w:t xml:space="preserve">Увеличение земель промышленности  на 0,3 тыс. га произошло за счет перевода земельных участков земель сельскохозяйственного назначения и земель запаса в земли промышленности, и в результате проводимой работы по сверке сведений Единого государственного реестра прав </w:t>
      </w:r>
      <w:r>
        <w:rPr>
          <w:rFonts w:eastAsia="" w:cs="Times New Roman" w:ascii="Times New Roman" w:hAnsi="Times New Roman" w:eastAsiaTheme="minorEastAsia"/>
          <w:sz w:val="28"/>
          <w:szCs w:val="28"/>
          <w:lang w:val="ru-RU"/>
        </w:rPr>
        <w:t xml:space="preserve">на недвижимое имущество и сделок с ним, государственного кадастра недвижимости и базы данных Федеральной налоговой службы.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Земли запаса уменьшились на 1,4 тыс. за счет перевода в земли сельскохозяйственного назначения, промышленности и лесного фонда.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Согласно Федеральному закону от 21.12.2004 № 172-ФЗ «О переводе земель или земельных участков из одной категории в другую», вступившего в силу 05.01.2005, до разграничения государственной собственности на землю перевод, находящихся в государственной собственности, земель или земельных участков в составе таких земель из одной категории в другую осуществляется органом исполнительной власти края или в случаях, установленных законами субъектов Российской Федерации, органами местного самоуправления. Перевод всех земельных участков на территории Приморского края в 2016 осуществлялся в соответствии с вышеуказанным законом и Земельным кодексом Российской Федерации.</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Основанием для перевода земель являлись нормативные акты органов исполнительной власти Приморского края и органов местного самоуправления, принятые в пределах их компетенции по вопросам использования и охраны земель, связанные с необходимостью изменения их целевого назначения. К необходимости перевода земель из одной категории в другую привели такие мероприятия, как предоставление земельных участков из земель государственной собственности, изъятие земельных участков для государственных нужд, включение земельных участков в границы населенных пунктов с целью дальнейшего предоставления земель для жилищного строительства, возврат (изъятых ранее) в прежнюю категорию, возврат отработанных или рекультивированных земель.</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Особое место в процессе перевода земель и земельных участков из одной категории в другую занимает вопрос приведения состава земель определенной категории в соответствие с действующим законодательством, так как в Российской Федерации состав земель и порядок государственного учета земель в разные периоды времени менялись соответственно потребностям государственного управления.</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Также при использовании статистических данных следует учитывать, что сведения о наличии и распределении земель по категориям сформированы по фактическому правовому состоянию земель, то есть, согласно действующим на отчетную дату документам, устанавливающим или удостоверяющим право на землю. При этом очевидно, что правовое положение части земель не соответствует законодательно установленным нормам. В отношении этих земель необходимы действия компетентных органов власти, заключающиеся в издании соответствующих актов (об установлении категории земель или переводе земель из одной категории в другую, прекращении действия права на землю) и в, отдельных случаях, в инициативах, связанных с формированием и кадастровым учетом земельных участков. В частности, такие действия необходимы в отношении большого количества лесных земель и земель под водными объектами, не отнесенных к категориям лесного фонда. </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ascii="Times New Roman" w:hAnsi="Times New Roman"/>
          <w:sz w:val="28"/>
          <w:szCs w:val="28"/>
          <w:lang w:val="ru-RU"/>
        </w:rPr>
        <w:t>Распределение земель Приморского края по категориям в разрезе муниципальных образований  представлено в приложении 1.</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 xml:space="preserve"> </w:t>
      </w:r>
    </w:p>
    <w:p>
      <w:pPr>
        <w:pStyle w:val="NormalWeb"/>
        <w:spacing w:lineRule="auto" w:line="240" w:before="0" w:after="200"/>
        <w:ind w:firstLine="709"/>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before="0" w:after="200"/>
        <w:ind w:firstLine="709"/>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before="0" w:after="200"/>
        <w:ind w:firstLine="709"/>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before="0" w:after="200"/>
        <w:ind w:firstLine="709"/>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before="0" w:after="200"/>
        <w:ind w:firstLine="709"/>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before="0" w:after="200"/>
        <w:ind w:firstLine="709"/>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before="0" w:after="200"/>
        <w:ind w:firstLine="709"/>
        <w:contextualSpacing/>
        <w:jc w:val="center"/>
        <w:rPr>
          <w:rFonts w:ascii="Times New Roman" w:hAnsi="Times New Roman" w:cs="Times New Roman"/>
          <w:b/>
          <w:b/>
          <w:sz w:val="28"/>
          <w:szCs w:val="28"/>
          <w:lang w:val="ru-RU"/>
        </w:rPr>
      </w:pPr>
      <w:bookmarkStart w:id="68" w:name="_Toc256850160"/>
      <w:bookmarkStart w:id="69" w:name="_Toc130628059"/>
      <w:bookmarkStart w:id="70" w:name="_Toc97106160"/>
      <w:bookmarkStart w:id="71" w:name="_Toc96823385"/>
      <w:bookmarkStart w:id="72" w:name="_Toc65489216"/>
      <w:bookmarkStart w:id="73" w:name="_Toc34560171"/>
      <w:bookmarkStart w:id="74" w:name="_Toc34560081"/>
      <w:bookmarkStart w:id="75" w:name="_Toc34560033"/>
      <w:bookmarkStart w:id="76" w:name="_Toc34559181"/>
      <w:bookmarkStart w:id="77" w:name="_Toc34559004"/>
      <w:bookmarkStart w:id="78" w:name="_Toc34558204"/>
      <w:bookmarkStart w:id="79" w:name="_Toc34212834"/>
      <w:bookmarkStart w:id="80" w:name="_Toc3032269"/>
      <w:r>
        <w:drawing>
          <wp:anchor behindDoc="0" distT="0" distB="0" distL="114300" distR="114300" simplePos="0" locked="0" layoutInCell="0" allowOverlap="1" relativeHeight="15">
            <wp:simplePos x="0" y="0"/>
            <wp:positionH relativeFrom="margin">
              <wp:posOffset>-60960</wp:posOffset>
            </wp:positionH>
            <wp:positionV relativeFrom="margin">
              <wp:posOffset>1517650</wp:posOffset>
            </wp:positionV>
            <wp:extent cx="1933575" cy="1428750"/>
            <wp:effectExtent l="0" t="0" r="0" b="0"/>
            <wp:wrapSquare wrapText="bothSides"/>
            <wp:docPr id="5" name="Рисунок 1" descr="D:\Региональный доклад_2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D:\Региональный доклад_2014\5.jpg"/>
                    <pic:cNvPicPr>
                      <a:picLocks noChangeAspect="1" noChangeArrowheads="1"/>
                    </pic:cNvPicPr>
                  </pic:nvPicPr>
                  <pic:blipFill>
                    <a:blip r:embed="rId56"/>
                    <a:stretch>
                      <a:fillRect/>
                    </a:stretch>
                  </pic:blipFill>
                  <pic:spPr bwMode="auto">
                    <a:xfrm>
                      <a:off x="0" y="0"/>
                      <a:ext cx="1933575" cy="1428750"/>
                    </a:xfrm>
                    <a:prstGeom prst="rect">
                      <a:avLst/>
                    </a:prstGeom>
                  </pic:spPr>
                </pic:pic>
              </a:graphicData>
            </a:graphic>
          </wp:anchor>
        </w:drawing>
      </w:r>
      <w:r>
        <w:rPr>
          <w:rFonts w:cs="Times New Roman" w:ascii="Times New Roman" w:hAnsi="Times New Roman"/>
          <w:b/>
          <w:sz w:val="28"/>
          <w:szCs w:val="28"/>
          <w:lang w:val="ru-RU"/>
        </w:rPr>
        <w:t>1.1.1. Земли сельскохозяйственного назначени</w:t>
      </w:r>
      <w:bookmarkEnd w:id="68"/>
      <w:bookmarkEnd w:id="69"/>
      <w:bookmarkEnd w:id="70"/>
      <w:bookmarkEnd w:id="71"/>
      <w:bookmarkEnd w:id="72"/>
      <w:bookmarkEnd w:id="73"/>
      <w:bookmarkEnd w:id="74"/>
      <w:bookmarkEnd w:id="75"/>
      <w:bookmarkEnd w:id="76"/>
      <w:bookmarkEnd w:id="77"/>
      <w:bookmarkEnd w:id="78"/>
      <w:bookmarkEnd w:id="79"/>
      <w:bookmarkEnd w:id="80"/>
      <w:r>
        <w:rPr>
          <w:rFonts w:cs="Times New Roman" w:ascii="Times New Roman" w:hAnsi="Times New Roman"/>
          <w:b/>
          <w:sz w:val="28"/>
          <w:szCs w:val="28"/>
          <w:lang w:val="ru-RU"/>
        </w:rPr>
        <w:t>я</w:t>
      </w:r>
    </w:p>
    <w:p>
      <w:pPr>
        <w:pStyle w:val="NormalWeb"/>
        <w:tabs>
          <w:tab w:val="clear" w:pos="708"/>
          <w:tab w:val="left" w:pos="810" w:leader="none"/>
        </w:tabs>
        <w:spacing w:lineRule="auto" w:line="24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Web"/>
        <w:tabs>
          <w:tab w:val="clear" w:pos="708"/>
          <w:tab w:val="left" w:pos="810" w:leader="none"/>
        </w:tabs>
        <w:spacing w:lineRule="auto" w:line="240" w:before="0" w:after="0"/>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 xml:space="preserve">Землями сельскохозяйственного назначения признаются земли за чертой населенных пунктов, предоставленные для нужд сельского хозяйства или предназначенные для этих целей. Земли данной категории выступают как основное средство производства в сельском хозяйстве,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На 1 января 2017 года площадь земель сельскохозяйственного назначения составила 1862,3 тыс.га.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К категории земель сельскохозяйственного назначения отнесены земли, предоставленные различным сельскохозяйственным предприятиям и организациям (товариществам и обществам, кооперативам, государственным и муниципальным унитарным предприятиям, научно-исследовательским учреждениям). В нее входят также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В состав земель сельскохозяйственного назначения вошли земельные участки сельскохозяйственного назначения, переданные в ведение сельских администраций и расположенные за чертой населенных пунктов. С целью перераспределения земель на первом этапе земельной реформы эти земли были изъяты у реорганизуемых сельскохозяйственных предприятий для предоставления их гражданам. В настоящее время по большей части данные земли не используются или используются без оформления соответствующих документов.</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В общую площадь категории земель вошли площади, занятые земельными долями (в том числе невостребованными) и земельными участками сельскохозяйственного назначения, принадлежащие гражданам.</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Земли сельскохозяйственного назначения состоят из сельскохозяйственных и несельскохозяйственных угодий.</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Площадь сельскохозяйственных угодий в составе данной категории земель занимала в 2015 году 1399,4 тыс. га, в 2016 году – 1398,7 тыс. га. Уменьшение  площади на 0,7 тыс. га произошло в результате перевода земель из другой категории. К сельскохозяйственным угодьям отнесены: пашня, залежь, сенокосы, пастбища, многолетние насаждения.</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Площадь несельскохозяйственных угодий в структуре земель сельскохозяйственного назначения края составила 463,6 тыс. га. К ним отнесены</w:t>
      </w:r>
      <w:r>
        <w:rPr>
          <w:rFonts w:ascii="Times New Roman" w:hAnsi="Times New Roman"/>
          <w:sz w:val="28"/>
          <w:szCs w:val="28"/>
        </w:rPr>
        <w:t> </w:t>
      </w:r>
      <w:r>
        <w:rPr>
          <w:rFonts w:ascii="Times New Roman" w:hAnsi="Times New Roman"/>
          <w:sz w:val="28"/>
          <w:szCs w:val="28"/>
          <w:lang w:val="ru-RU"/>
        </w:rPr>
        <w:t>земли под зданиями, строениями, сооружениями, используемые для производства, хранения и первичной переработки сельскохозяйственной продукции, под  внутрихозяйственными дорогами, защитными древесно-кустарнико</w:t>
        <w:softHyphen/>
        <w:t>выми насаждениями, предназначенными для обеспечения защиты земель от воздействия негативных (вредных) природных, антропогенных и техногенных явлений, замкнутыми водоемами, а также земельными участками, предназначенными для обслуживания сельскохозяйственного производства. Сюда же включены участки леса, находящиеся в пользовании сельскохозяйственных предприятий, а также водные объекты, которые могут быть переведены в соответствующие категории земель.</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 соответствии с Земельным кодексом Российской Федерации в составе земель сельскохозяйственного назначения в целях перераспределения земель для сельскохозяйственного производства, создания и расширения крестьянских (фермерских) хозяйств, личных подсобных хозяйств, ведения садоводства, животноводства, огородничества, сенокошения и выпаса скота формируется фонд перераспределения земель. В фонд включаются земельные участки сельскохозяйственного назначения, свободные от обременения правами юридических и физических лиц, в целях перераспределения земель для сельскохозяйственного производства, создания и расширения крестьянских (фермерских) хозяйств, личных подсобных хозяйств, ведения садоводства, животноводства, огородничества, сенокошения, выпаса скота.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Фонд перераспределения земель формируется за счет земельных участков из земель сельскохозяйственного назначения, поступивших в этот фонд: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при добровольном отказе от земельного участка;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в случаях отсутствия наследников (по закону, по завещанию) либо один из наследников не принял наследство, либо наследники лишены завещателем наследства, либо наследник отказался от наследства в пользу государства или отказался от наследства без указания лица, в пользу которого он отказывается от наследства;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при принудительном изъятии земельного участка в случаях, предусмотренных Земельным кодексом Российской Федерации, другими федеральными законами.</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Массовый характер получила передача земельных участков в установленном порядке в фонд перераспределения земель при ликвидации сельскохозяйственных предприятий.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Кроме этого, в фонд перераспределения включались неиспользуемые земли, находившиеся на день введения в действие нового Земельного кодекса Российской Федерации и образованных в соответствии с Указом Президента Российской Федерации «О неотложных мерах по осуществлению земельной реформы в РСФСР» в фондах перераспределения, которые в свое время были отнесены к категории земель запаса.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За отчетный период общая площадь земель фонда перераспределения составила 489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Динамика изменения площадей земель сельскохозяйственного назначения представлена в сравнительной таблице (тыс. га).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r>
    </w:p>
    <w:tbl>
      <w:tblPr>
        <w:tblW w:w="5807" w:type="dxa"/>
        <w:jc w:val="center"/>
        <w:tblInd w:w="0" w:type="dxa"/>
        <w:tblLayout w:type="fixed"/>
        <w:tblCellMar>
          <w:top w:w="0" w:type="dxa"/>
          <w:left w:w="108" w:type="dxa"/>
          <w:bottom w:w="0" w:type="dxa"/>
          <w:right w:w="108" w:type="dxa"/>
        </w:tblCellMar>
        <w:tblLook w:val="00a0" w:noHBand="0" w:noVBand="0" w:firstColumn="1" w:lastRow="0" w:lastColumn="0" w:firstRow="1"/>
      </w:tblPr>
      <w:tblGrid>
        <w:gridCol w:w="1297"/>
        <w:gridCol w:w="1296"/>
        <w:gridCol w:w="1071"/>
        <w:gridCol w:w="1072"/>
        <w:gridCol w:w="1071"/>
      </w:tblGrid>
      <w:tr>
        <w:trPr/>
        <w:tc>
          <w:tcPr>
            <w:tcW w:w="1297"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jc w:val="center"/>
              <w:rPr>
                <w:rFonts w:ascii="Times New Roman" w:hAnsi="Times New Roman"/>
                <w:lang w:val="ru-RU"/>
              </w:rPr>
            </w:pPr>
            <w:r>
              <w:rPr>
                <w:rFonts w:ascii="Times New Roman" w:hAnsi="Times New Roman"/>
                <w:lang w:val="ru-RU"/>
              </w:rPr>
              <w:t>2012 год</w:t>
            </w:r>
          </w:p>
        </w:tc>
        <w:tc>
          <w:tcPr>
            <w:tcW w:w="12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jc w:val="center"/>
              <w:rPr>
                <w:rFonts w:ascii="Times New Roman" w:hAnsi="Times New Roman"/>
                <w:lang w:val="ru-RU"/>
              </w:rPr>
            </w:pPr>
            <w:r>
              <w:rPr>
                <w:rFonts w:ascii="Times New Roman" w:hAnsi="Times New Roman"/>
                <w:lang w:val="ru-RU"/>
              </w:rPr>
              <w:t>2013 год</w:t>
            </w:r>
          </w:p>
        </w:tc>
        <w:tc>
          <w:tcPr>
            <w:tcW w:w="107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jc w:val="center"/>
              <w:rPr>
                <w:rFonts w:ascii="Times New Roman" w:hAnsi="Times New Roman"/>
                <w:lang w:val="ru-RU"/>
              </w:rPr>
            </w:pPr>
            <w:r>
              <w:rPr>
                <w:rFonts w:ascii="Times New Roman" w:hAnsi="Times New Roman"/>
                <w:lang w:val="ru-RU"/>
              </w:rPr>
              <w:t>2014 год</w:t>
            </w:r>
          </w:p>
        </w:tc>
        <w:tc>
          <w:tcPr>
            <w:tcW w:w="1072"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jc w:val="center"/>
              <w:rPr>
                <w:rFonts w:ascii="Times New Roman" w:hAnsi="Times New Roman"/>
                <w:lang w:val="ru-RU"/>
              </w:rPr>
            </w:pPr>
            <w:r>
              <w:rPr>
                <w:rFonts w:ascii="Times New Roman" w:hAnsi="Times New Roman"/>
                <w:lang w:val="ru-RU"/>
              </w:rPr>
              <w:t>2015 год</w:t>
            </w:r>
          </w:p>
        </w:tc>
        <w:tc>
          <w:tcPr>
            <w:tcW w:w="107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jc w:val="center"/>
              <w:rPr>
                <w:rFonts w:ascii="Times New Roman" w:hAnsi="Times New Roman"/>
                <w:lang w:val="ru-RU"/>
              </w:rPr>
            </w:pPr>
            <w:r>
              <w:rPr>
                <w:rFonts w:ascii="Times New Roman" w:hAnsi="Times New Roman"/>
                <w:lang w:val="ru-RU"/>
              </w:rPr>
              <w:t>2016 год</w:t>
            </w:r>
          </w:p>
        </w:tc>
      </w:tr>
      <w:tr>
        <w:trPr/>
        <w:tc>
          <w:tcPr>
            <w:tcW w:w="1297"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jc w:val="center"/>
              <w:rPr>
                <w:rFonts w:ascii="Times New Roman" w:hAnsi="Times New Roman"/>
                <w:sz w:val="20"/>
                <w:szCs w:val="20"/>
                <w:lang w:val="ru-RU"/>
              </w:rPr>
            </w:pPr>
            <w:r>
              <w:rPr>
                <w:rFonts w:ascii="Times New Roman" w:hAnsi="Times New Roman"/>
                <w:sz w:val="20"/>
                <w:szCs w:val="20"/>
                <w:lang w:val="ru-RU"/>
              </w:rPr>
              <w:t>1872,6</w:t>
            </w:r>
          </w:p>
        </w:tc>
        <w:tc>
          <w:tcPr>
            <w:tcW w:w="129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jc w:val="center"/>
              <w:rPr>
                <w:rFonts w:ascii="Times New Roman" w:hAnsi="Times New Roman"/>
                <w:sz w:val="20"/>
                <w:szCs w:val="20"/>
                <w:lang w:val="ru-RU"/>
              </w:rPr>
            </w:pPr>
            <w:r>
              <w:rPr>
                <w:rFonts w:ascii="Times New Roman" w:hAnsi="Times New Roman"/>
                <w:sz w:val="20"/>
                <w:szCs w:val="20"/>
                <w:lang w:val="ru-RU"/>
              </w:rPr>
              <w:t>1874,5</w:t>
            </w:r>
          </w:p>
        </w:tc>
        <w:tc>
          <w:tcPr>
            <w:tcW w:w="107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jc w:val="center"/>
              <w:rPr>
                <w:rFonts w:ascii="Times New Roman" w:hAnsi="Times New Roman"/>
                <w:sz w:val="20"/>
                <w:szCs w:val="20"/>
                <w:lang w:val="ru-RU"/>
              </w:rPr>
            </w:pPr>
            <w:r>
              <w:rPr>
                <w:rFonts w:ascii="Times New Roman" w:hAnsi="Times New Roman"/>
                <w:sz w:val="20"/>
                <w:szCs w:val="20"/>
                <w:lang w:val="ru-RU"/>
              </w:rPr>
              <w:t>1874,4</w:t>
            </w:r>
          </w:p>
        </w:tc>
        <w:tc>
          <w:tcPr>
            <w:tcW w:w="1072"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jc w:val="center"/>
              <w:rPr>
                <w:rFonts w:ascii="Times New Roman" w:hAnsi="Times New Roman"/>
                <w:sz w:val="20"/>
                <w:szCs w:val="20"/>
                <w:lang w:val="ru-RU"/>
              </w:rPr>
            </w:pPr>
            <w:r>
              <w:rPr>
                <w:rFonts w:ascii="Times New Roman" w:hAnsi="Times New Roman"/>
                <w:sz w:val="20"/>
                <w:szCs w:val="20"/>
                <w:lang w:val="ru-RU"/>
              </w:rPr>
              <w:t>1875,2</w:t>
            </w:r>
          </w:p>
        </w:tc>
        <w:tc>
          <w:tcPr>
            <w:tcW w:w="107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240" w:after="0"/>
              <w:jc w:val="center"/>
              <w:rPr>
                <w:rFonts w:ascii="Times New Roman" w:hAnsi="Times New Roman"/>
                <w:lang w:val="ru-RU"/>
              </w:rPr>
            </w:pPr>
            <w:r>
              <w:rPr>
                <w:rFonts w:ascii="Times New Roman" w:hAnsi="Times New Roman"/>
                <w:sz w:val="20"/>
                <w:szCs w:val="20"/>
                <w:lang w:val="ru-RU"/>
              </w:rPr>
              <w:t>1862,3</w:t>
            </w:r>
          </w:p>
        </w:tc>
      </w:tr>
    </w:tbl>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Структура земель сельскохозяйственного назначения Приморского края по состоянию на 01.01.2017 представлена на диаграмме (рис.2).</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r>
    </w:p>
    <w:p>
      <w:pPr>
        <w:pStyle w:val="NormalWeb"/>
        <w:spacing w:lineRule="auto" w:line="240" w:before="0" w:after="200"/>
        <w:contextualSpacing/>
        <w:jc w:val="center"/>
        <w:rPr>
          <w:rFonts w:ascii="Times New Roman" w:hAnsi="Times New Roman"/>
          <w:sz w:val="28"/>
          <w:szCs w:val="28"/>
          <w:lang w:val="ru-RU"/>
        </w:rPr>
      </w:pPr>
      <w:r>
        <w:rPr/>
        <w:drawing>
          <wp:inline distT="0" distB="0" distL="0" distR="0">
            <wp:extent cx="4584700" cy="2755900"/>
            <wp:effectExtent l="0" t="0" r="0" b="0"/>
            <wp:docPr id="6"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4" descr=""/>
                    <pic:cNvPicPr>
                      <a:picLocks noChangeAspect="1" noChangeArrowheads="1"/>
                    </pic:cNvPicPr>
                  </pic:nvPicPr>
                  <pic:blipFill>
                    <a:blip r:embed="rId57"/>
                    <a:stretch>
                      <a:fillRect/>
                    </a:stretch>
                  </pic:blipFill>
                  <pic:spPr bwMode="auto">
                    <a:xfrm>
                      <a:off x="0" y="0"/>
                      <a:ext cx="4584700" cy="2755900"/>
                    </a:xfrm>
                    <a:prstGeom prst="rect">
                      <a:avLst/>
                    </a:prstGeom>
                  </pic:spPr>
                </pic:pic>
              </a:graphicData>
            </a:graphic>
          </wp:inline>
        </w:drawing>
      </w:r>
    </w:p>
    <w:p>
      <w:pPr>
        <w:pStyle w:val="Normal"/>
        <w:spacing w:lineRule="auto" w:line="240" w:before="0" w:after="200"/>
        <w:ind w:left="720" w:hanging="0"/>
        <w:contextualSpacing/>
        <w:jc w:val="center"/>
        <w:rPr>
          <w:rFonts w:ascii="Times New Roman" w:hAnsi="Times New Roman" w:cs="Times New Roman"/>
          <w:b/>
          <w:b/>
          <w:sz w:val="24"/>
          <w:szCs w:val="24"/>
        </w:rPr>
      </w:pPr>
      <w:r>
        <w:rPr>
          <w:rFonts w:cs="Times New Roman" w:ascii="Times New Roman" w:hAnsi="Times New Roman"/>
          <w:b/>
          <w:sz w:val="24"/>
          <w:szCs w:val="24"/>
        </w:rPr>
        <w:t>Рис. 2. Структура земель сельскохозяйственного назначения за 2016 год</w:t>
      </w:r>
    </w:p>
    <w:p>
      <w:pPr>
        <w:pStyle w:val="NormalWeb"/>
        <w:spacing w:lineRule="auto" w:line="240" w:before="0" w:after="200"/>
        <w:ind w:firstLine="709"/>
        <w:contextualSpacing/>
        <w:jc w:val="both"/>
        <w:rPr>
          <w:rFonts w:ascii="Times New Roman" w:hAnsi="Times New Roman"/>
          <w:b/>
          <w:b/>
          <w:sz w:val="28"/>
          <w:szCs w:val="28"/>
          <w:lang w:val="ru-RU"/>
        </w:rPr>
      </w:pPr>
      <w:r>
        <w:rPr>
          <w:rFonts w:ascii="Times New Roman" w:hAnsi="Times New Roman"/>
          <w:sz w:val="28"/>
          <w:szCs w:val="28"/>
          <w:lang w:val="ru-RU"/>
        </w:rPr>
        <w:t>Из них:</w:t>
      </w:r>
    </w:p>
    <w:p>
      <w:pPr>
        <w:pStyle w:val="NormalWeb"/>
        <w:spacing w:lineRule="auto" w:line="240" w:before="0" w:after="200"/>
        <w:contextualSpacing/>
        <w:jc w:val="both"/>
        <w:rPr>
          <w:rFonts w:ascii="Times New Roman" w:hAnsi="Times New Roman"/>
          <w:sz w:val="28"/>
          <w:szCs w:val="28"/>
          <w:lang w:val="ru-RU"/>
        </w:rPr>
      </w:pPr>
      <w:r>
        <w:rPr>
          <w:rFonts w:ascii="Times New Roman" w:hAnsi="Times New Roman"/>
          <w:sz w:val="28"/>
          <w:szCs w:val="28"/>
          <w:lang w:val="ru-RU"/>
        </w:rPr>
        <w:t>1. Сельскохозяйственные угодья – 1398,7 тыс. га (75,2 %);</w:t>
      </w:r>
    </w:p>
    <w:p>
      <w:pPr>
        <w:pStyle w:val="NormalWeb"/>
        <w:spacing w:lineRule="auto" w:line="240" w:before="0" w:after="200"/>
        <w:contextualSpacing/>
        <w:jc w:val="both"/>
        <w:rPr>
          <w:rFonts w:ascii="Times New Roman" w:hAnsi="Times New Roman"/>
          <w:sz w:val="28"/>
          <w:szCs w:val="28"/>
          <w:lang w:val="ru-RU"/>
        </w:rPr>
      </w:pPr>
      <w:r>
        <w:rPr>
          <w:rFonts w:ascii="Times New Roman" w:hAnsi="Times New Roman"/>
          <w:sz w:val="28"/>
          <w:szCs w:val="28"/>
          <w:lang w:val="ru-RU"/>
        </w:rPr>
        <w:t>2. Лесные земли (покрытые и не покрытые лесами) – 111 тыс. га (6,0 %);</w:t>
      </w:r>
    </w:p>
    <w:p>
      <w:pPr>
        <w:pStyle w:val="NormalWeb"/>
        <w:spacing w:lineRule="auto" w:line="240" w:before="0" w:after="200"/>
        <w:ind w:left="284" w:hanging="284"/>
        <w:contextualSpacing/>
        <w:jc w:val="both"/>
        <w:rPr>
          <w:rFonts w:ascii="Times New Roman" w:hAnsi="Times New Roman"/>
          <w:sz w:val="28"/>
          <w:szCs w:val="28"/>
          <w:lang w:val="ru-RU"/>
        </w:rPr>
      </w:pPr>
      <w:r>
        <w:rPr>
          <w:rFonts w:ascii="Times New Roman" w:hAnsi="Times New Roman"/>
          <w:sz w:val="28"/>
          <w:szCs w:val="28"/>
          <w:lang w:val="ru-RU"/>
        </w:rPr>
        <w:t>3. Древесно-кустарниковая растительность, не входящая в лесной фонд –   167 тыс. га (8,97 %);</w:t>
      </w:r>
    </w:p>
    <w:p>
      <w:pPr>
        <w:pStyle w:val="NormalWeb"/>
        <w:spacing w:lineRule="auto" w:line="240" w:before="0" w:after="200"/>
        <w:contextualSpacing/>
        <w:jc w:val="both"/>
        <w:rPr>
          <w:rFonts w:ascii="Times New Roman" w:hAnsi="Times New Roman"/>
          <w:sz w:val="28"/>
          <w:szCs w:val="28"/>
          <w:lang w:val="ru-RU"/>
        </w:rPr>
      </w:pPr>
      <w:r>
        <w:rPr>
          <w:rFonts w:ascii="Times New Roman" w:hAnsi="Times New Roman"/>
          <w:sz w:val="28"/>
          <w:szCs w:val="28"/>
          <w:lang w:val="ru-RU"/>
        </w:rPr>
        <w:t>4. Под водой – 34,2 тыс. га (1,8 %);</w:t>
      </w:r>
    </w:p>
    <w:p>
      <w:pPr>
        <w:pStyle w:val="NormalWeb"/>
        <w:spacing w:lineRule="auto" w:line="240" w:before="0" w:after="200"/>
        <w:contextualSpacing/>
        <w:jc w:val="both"/>
        <w:rPr>
          <w:rFonts w:ascii="Times New Roman" w:hAnsi="Times New Roman"/>
          <w:sz w:val="28"/>
          <w:szCs w:val="28"/>
          <w:lang w:val="ru-RU"/>
        </w:rPr>
      </w:pPr>
      <w:r>
        <w:rPr>
          <w:rFonts w:ascii="Times New Roman" w:hAnsi="Times New Roman"/>
          <w:sz w:val="28"/>
          <w:szCs w:val="28"/>
          <w:lang w:val="ru-RU"/>
        </w:rPr>
        <w:t>5. Земли застройки – 4,5 тыс. га (0,24 %);</w:t>
      </w:r>
    </w:p>
    <w:p>
      <w:pPr>
        <w:pStyle w:val="NormalWeb"/>
        <w:spacing w:lineRule="auto" w:line="240" w:before="0" w:after="200"/>
        <w:contextualSpacing/>
        <w:jc w:val="both"/>
        <w:rPr>
          <w:rFonts w:ascii="Times New Roman" w:hAnsi="Times New Roman"/>
          <w:sz w:val="28"/>
          <w:szCs w:val="28"/>
          <w:lang w:val="ru-RU"/>
        </w:rPr>
      </w:pPr>
      <w:r>
        <w:rPr>
          <w:rFonts w:ascii="Times New Roman" w:hAnsi="Times New Roman"/>
          <w:sz w:val="28"/>
          <w:szCs w:val="28"/>
          <w:lang w:val="ru-RU"/>
        </w:rPr>
        <w:t>6. Под дорогами – 18,4 тыс. га (0,99 %);</w:t>
      </w:r>
    </w:p>
    <w:p>
      <w:pPr>
        <w:pStyle w:val="NormalWeb"/>
        <w:spacing w:lineRule="auto" w:line="240" w:before="0" w:after="200"/>
        <w:contextualSpacing/>
        <w:jc w:val="both"/>
        <w:rPr>
          <w:rFonts w:ascii="Times New Roman" w:hAnsi="Times New Roman"/>
          <w:sz w:val="28"/>
          <w:szCs w:val="28"/>
          <w:lang w:val="ru-RU"/>
        </w:rPr>
      </w:pPr>
      <w:r>
        <w:rPr>
          <w:rFonts w:ascii="Times New Roman" w:hAnsi="Times New Roman"/>
          <w:sz w:val="28"/>
          <w:szCs w:val="28"/>
          <w:lang w:val="ru-RU"/>
        </w:rPr>
        <w:t>7. Болота – 101,6 тыс. га (5,46 %);</w:t>
      </w:r>
    </w:p>
    <w:p>
      <w:pPr>
        <w:pStyle w:val="NormalWeb"/>
        <w:spacing w:lineRule="auto" w:line="240" w:before="0" w:after="200"/>
        <w:contextualSpacing/>
        <w:jc w:val="both"/>
        <w:rPr>
          <w:rFonts w:ascii="Times New Roman" w:hAnsi="Times New Roman"/>
          <w:sz w:val="28"/>
          <w:szCs w:val="28"/>
          <w:lang w:val="ru-RU"/>
        </w:rPr>
      </w:pPr>
      <w:r>
        <w:rPr>
          <w:rFonts w:ascii="Times New Roman" w:hAnsi="Times New Roman"/>
          <w:sz w:val="28"/>
          <w:szCs w:val="28"/>
          <w:lang w:val="ru-RU"/>
        </w:rPr>
        <w:t>8. Нарушенные земли – 0,8 тыс. га (0,04 %);</w:t>
      </w:r>
    </w:p>
    <w:p>
      <w:pPr>
        <w:pStyle w:val="NormalWeb"/>
        <w:spacing w:lineRule="auto" w:line="240" w:before="0" w:after="200"/>
        <w:contextualSpacing/>
        <w:jc w:val="both"/>
        <w:rPr>
          <w:rFonts w:ascii="Times New Roman" w:hAnsi="Times New Roman"/>
          <w:spacing w:val="-6"/>
          <w:sz w:val="28"/>
          <w:szCs w:val="28"/>
          <w:lang w:val="ru-RU"/>
        </w:rPr>
      </w:pPr>
      <w:r>
        <w:rPr>
          <w:rFonts w:ascii="Times New Roman" w:hAnsi="Times New Roman"/>
          <w:sz w:val="28"/>
          <w:szCs w:val="28"/>
          <w:lang w:val="ru-RU"/>
        </w:rPr>
        <w:t xml:space="preserve">9. </w:t>
      </w:r>
      <w:r>
        <w:rPr>
          <w:rFonts w:ascii="Times New Roman" w:hAnsi="Times New Roman"/>
          <w:spacing w:val="-6"/>
          <w:sz w:val="28"/>
          <w:szCs w:val="28"/>
          <w:lang w:val="ru-RU"/>
        </w:rPr>
        <w:t>Прочие земли (полигоны отходов, свалки, овраги и др.) – 24,3 тыс. га (1,3 %).</w:t>
      </w:r>
    </w:p>
    <w:p>
      <w:pPr>
        <w:pStyle w:val="NormalWeb"/>
        <w:spacing w:lineRule="auto" w:line="240" w:before="0" w:after="200"/>
        <w:ind w:firstLine="851"/>
        <w:contextualSpacing/>
        <w:jc w:val="both"/>
        <w:rPr>
          <w:rFonts w:ascii="Times New Roman" w:hAnsi="Times New Roman"/>
          <w:sz w:val="28"/>
          <w:szCs w:val="28"/>
          <w:lang w:val="ru-RU"/>
        </w:rPr>
      </w:pPr>
      <w:r>
        <w:rPr>
          <w:rFonts w:ascii="Times New Roman" w:hAnsi="Times New Roman"/>
          <w:sz w:val="28"/>
          <w:szCs w:val="28"/>
          <w:lang w:val="ru-RU"/>
        </w:rPr>
      </w:r>
    </w:p>
    <w:p>
      <w:pPr>
        <w:pStyle w:val="NormalWeb"/>
        <w:spacing w:lineRule="auto" w:line="240"/>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jc w:val="center"/>
        <w:rPr>
          <w:rFonts w:ascii="Times New Roman" w:hAnsi="Times New Roman" w:cs="Times New Roman"/>
          <w:b/>
          <w:b/>
          <w:sz w:val="28"/>
          <w:szCs w:val="28"/>
          <w:lang w:val="ru-RU"/>
        </w:rPr>
      </w:pPr>
      <w:r>
        <w:rPr>
          <w:rFonts w:cs="Times New Roman" w:ascii="Times New Roman" w:hAnsi="Times New Roman"/>
          <w:b/>
          <w:sz w:val="28"/>
          <w:szCs w:val="28"/>
          <w:lang w:val="ru-RU"/>
        </w:rPr>
        <w:t xml:space="preserve">1.1.2. </w:t>
      </w:r>
      <w:bookmarkStart w:id="81" w:name="_Toc3032270"/>
      <w:bookmarkStart w:id="82" w:name="_Toc34212835"/>
      <w:bookmarkStart w:id="83" w:name="_Toc34558205"/>
      <w:bookmarkStart w:id="84" w:name="_Toc34559005"/>
      <w:bookmarkStart w:id="85" w:name="_Toc34559182"/>
      <w:bookmarkStart w:id="86" w:name="_Toc34560034"/>
      <w:bookmarkStart w:id="87" w:name="_Toc34560082"/>
      <w:bookmarkStart w:id="88" w:name="_Toc34560172"/>
      <w:bookmarkStart w:id="89" w:name="_Toc65489217"/>
      <w:r>
        <w:rPr>
          <w:rFonts w:cs="Times New Roman" w:ascii="Times New Roman" w:hAnsi="Times New Roman"/>
          <w:b/>
          <w:sz w:val="28"/>
          <w:szCs w:val="28"/>
          <w:lang w:val="ru-RU"/>
        </w:rPr>
        <w:t xml:space="preserve">Земли </w:t>
      </w:r>
      <w:bookmarkEnd w:id="81"/>
      <w:bookmarkEnd w:id="82"/>
      <w:bookmarkEnd w:id="83"/>
      <w:bookmarkEnd w:id="84"/>
      <w:bookmarkEnd w:id="85"/>
      <w:bookmarkEnd w:id="86"/>
      <w:bookmarkEnd w:id="87"/>
      <w:bookmarkEnd w:id="88"/>
      <w:bookmarkEnd w:id="89"/>
      <w:r>
        <w:rPr>
          <w:rFonts w:cs="Times New Roman" w:ascii="Times New Roman" w:hAnsi="Times New Roman"/>
          <w:b/>
          <w:sz w:val="28"/>
          <w:szCs w:val="28"/>
          <w:lang w:val="ru-RU"/>
        </w:rPr>
        <w:t>населенных пунктов</w:t>
      </w:r>
    </w:p>
    <w:p>
      <w:pPr>
        <w:pStyle w:val="NormalWeb"/>
        <w:spacing w:lineRule="auto" w:line="240" w:before="0" w:after="200"/>
        <w:ind w:firstLine="709"/>
        <w:contextualSpacing/>
        <w:jc w:val="both"/>
        <w:rPr>
          <w:rFonts w:ascii="Times New Roman" w:hAnsi="Times New Roman"/>
          <w:sz w:val="28"/>
          <w:szCs w:val="28"/>
          <w:lang w:val="ru-RU"/>
        </w:rPr>
      </w:pPr>
      <w:r>
        <mc:AlternateContent>
          <mc:Choice Requires="wps">
            <w:drawing>
              <wp:anchor behindDoc="0" distT="0" distB="0" distL="101600" distR="120650" simplePos="0" locked="0" layoutInCell="0" allowOverlap="1" relativeHeight="7" wp14:anchorId="43640B3A">
                <wp:simplePos x="0" y="0"/>
                <wp:positionH relativeFrom="column">
                  <wp:posOffset>-24130</wp:posOffset>
                </wp:positionH>
                <wp:positionV relativeFrom="paragraph">
                  <wp:posOffset>40005</wp:posOffset>
                </wp:positionV>
                <wp:extent cx="2705100" cy="1153795"/>
                <wp:effectExtent l="50800" t="12700" r="50800" b="88900"/>
                <wp:wrapSquare wrapText="bothSides"/>
                <wp:docPr id="7" name="Рисунок 1" descr="вид Владивостока"/>
                <a:graphic xmlns:a="http://schemas.openxmlformats.org/drawingml/2006/main">
                  <a:graphicData uri="http://schemas.openxmlformats.org/drawingml/2006/picture">
                    <pic:pic xmlns:pic="http://schemas.openxmlformats.org/drawingml/2006/picture">
                      <pic:nvPicPr>
                        <pic:cNvPr id="1" name="Рисунок 1" descr="вид Владивостока"/>
                        <pic:cNvPicPr/>
                      </pic:nvPicPr>
                      <pic:blipFill>
                        <a:blip r:embed="rId58"/>
                        <a:stretch/>
                      </pic:blipFill>
                      <pic:spPr>
                        <a:xfrm>
                          <a:off x="0" y="0"/>
                          <a:ext cx="2705040" cy="1153800"/>
                        </a:xfrm>
                        <a:prstGeom prst="rect">
                          <a:avLst/>
                        </a:prstGeom>
                        <a:ln w="9525">
                          <a:noFill/>
                        </a:ln>
                        <a:effectLst>
                          <a:outerShdw algn="t" blurRad="50760" dir="5400000" dist="38160" rotWithShape="0">
                            <a:srgbClr val="000000">
                              <a:alpha val="40000"/>
                            </a:srgbClr>
                          </a:outerShdw>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f" o:allowincell="f" style="position:absolute;margin-left:-1.9pt;margin-top:3.15pt;width:212.95pt;height:90.8pt;mso-wrap-style:none;v-text-anchor:middle" wp14:anchorId="43640B3A" type="_x0000_t75">
                <v:imagedata r:id="rId58" o:detectmouseclick="t"/>
                <v:stroke color="#3465a4" weight="9360" joinstyle="miter" endcap="flat"/>
                <w10:wrap type="square"/>
              </v:shape>
            </w:pict>
          </mc:Fallback>
        </mc:AlternateContent>
      </w:r>
      <w:r>
        <w:rPr>
          <w:rFonts w:ascii="Times New Roman" w:hAnsi="Times New Roman"/>
          <w:sz w:val="28"/>
          <w:szCs w:val="28"/>
          <w:lang w:val="ru-RU"/>
        </w:rPr>
        <w:t>В соответствии с действующим законодательством землями населенных пунктов признаются земли, используемые и предназначенные для застройки и развития городских и сельских населенных пунктов. Границы городских и сельских населенных пунктов отделяют земли населенных пунктов от земель иных категорий. Процесс упорядочения формирования данной категории земель осложняется в силу того, что черта населенных пунктов не установлена повсеместно, и при ее отсутствии учет земель данной категории осуществляется по фактической застройке, включая примыкающие к домам приусадебные участки.</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Уточнение площадей по видам использования земель на территории населенных пунктов осуществляется по результатам межевания земель, в процессе мероприятий по разграничению земель государственной собственности и внесению в установленном порядке сведений о земельных участках в Государственный кадастр недвижимости.</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По состоянию на 1 января 2017 года площадь земель, отнесенных к категории земель населенных пунктов, в целом по Приморскому краю составила 249,4 тыс. га, в том числе городских населенных пунктов – 153,9 тыс. га, сельских населенных пунктов – 95,5 тыс.га. За истекший год площадь земель данной категории не изменилась.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Изменения площади земель данной категории наглядно представлены в сравнительной таблице.</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r>
    </w:p>
    <w:tbl>
      <w:tblPr>
        <w:tblW w:w="8366" w:type="dxa"/>
        <w:jc w:val="center"/>
        <w:tblInd w:w="0" w:type="dxa"/>
        <w:tblLayout w:type="fixed"/>
        <w:tblCellMar>
          <w:top w:w="0" w:type="dxa"/>
          <w:left w:w="108" w:type="dxa"/>
          <w:bottom w:w="0" w:type="dxa"/>
          <w:right w:w="108" w:type="dxa"/>
        </w:tblCellMar>
        <w:tblLook w:val="00a0" w:noHBand="0" w:noVBand="0" w:firstColumn="1" w:lastRow="0" w:lastColumn="0" w:firstRow="1"/>
      </w:tblPr>
      <w:tblGrid>
        <w:gridCol w:w="1704"/>
        <w:gridCol w:w="1700"/>
        <w:gridCol w:w="1701"/>
        <w:gridCol w:w="1629"/>
        <w:gridCol w:w="1632"/>
      </w:tblGrid>
      <w:tr>
        <w:trPr/>
        <w:tc>
          <w:tcPr>
            <w:tcW w:w="1704"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jc w:val="center"/>
              <w:rPr>
                <w:rFonts w:ascii="Times New Roman" w:hAnsi="Times New Roman"/>
                <w:sz w:val="24"/>
                <w:szCs w:val="24"/>
                <w:lang w:val="ru-RU"/>
              </w:rPr>
            </w:pPr>
            <w:r>
              <w:rPr>
                <w:rFonts w:ascii="Times New Roman" w:hAnsi="Times New Roman"/>
                <w:sz w:val="24"/>
                <w:szCs w:val="24"/>
                <w:lang w:val="ru-RU"/>
              </w:rPr>
              <w:t>2012 год</w:t>
            </w:r>
          </w:p>
        </w:tc>
        <w:tc>
          <w:tcPr>
            <w:tcW w:w="170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jc w:val="center"/>
              <w:rPr>
                <w:rFonts w:ascii="Times New Roman" w:hAnsi="Times New Roman"/>
                <w:sz w:val="24"/>
                <w:szCs w:val="24"/>
                <w:lang w:val="ru-RU"/>
              </w:rPr>
            </w:pPr>
            <w:r>
              <w:rPr>
                <w:rFonts w:ascii="Times New Roman" w:hAnsi="Times New Roman"/>
                <w:sz w:val="24"/>
                <w:szCs w:val="24"/>
                <w:lang w:val="ru-RU"/>
              </w:rPr>
              <w:t>2013 год</w:t>
            </w:r>
          </w:p>
        </w:tc>
        <w:tc>
          <w:tcPr>
            <w:tcW w:w="170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jc w:val="center"/>
              <w:rPr>
                <w:rFonts w:ascii="Times New Roman" w:hAnsi="Times New Roman"/>
                <w:sz w:val="24"/>
                <w:szCs w:val="24"/>
                <w:lang w:val="ru-RU"/>
              </w:rPr>
            </w:pPr>
            <w:r>
              <w:rPr>
                <w:rFonts w:ascii="Times New Roman" w:hAnsi="Times New Roman"/>
                <w:sz w:val="24"/>
                <w:szCs w:val="24"/>
                <w:lang w:val="ru-RU"/>
              </w:rPr>
              <w:t>2014 год</w:t>
            </w:r>
          </w:p>
        </w:tc>
        <w:tc>
          <w:tcPr>
            <w:tcW w:w="162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jc w:val="center"/>
              <w:rPr>
                <w:rFonts w:ascii="Times New Roman" w:hAnsi="Times New Roman"/>
                <w:sz w:val="24"/>
                <w:szCs w:val="24"/>
                <w:lang w:val="ru-RU"/>
              </w:rPr>
            </w:pPr>
            <w:r>
              <w:rPr>
                <w:rFonts w:ascii="Times New Roman" w:hAnsi="Times New Roman"/>
                <w:sz w:val="24"/>
                <w:szCs w:val="24"/>
                <w:lang w:val="ru-RU"/>
              </w:rPr>
              <w:t>2015 год</w:t>
            </w:r>
          </w:p>
        </w:tc>
        <w:tc>
          <w:tcPr>
            <w:tcW w:w="1632"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200"/>
              <w:jc w:val="center"/>
              <w:rPr>
                <w:rFonts w:ascii="Times New Roman" w:hAnsi="Times New Roman"/>
                <w:sz w:val="24"/>
                <w:szCs w:val="24"/>
                <w:lang w:val="ru-RU"/>
              </w:rPr>
            </w:pPr>
            <w:r>
              <w:rPr>
                <w:rFonts w:ascii="Times New Roman" w:hAnsi="Times New Roman"/>
                <w:sz w:val="24"/>
                <w:szCs w:val="24"/>
                <w:lang w:val="ru-RU"/>
              </w:rPr>
              <w:t>2016 год</w:t>
            </w:r>
          </w:p>
        </w:tc>
      </w:tr>
      <w:tr>
        <w:trPr/>
        <w:tc>
          <w:tcPr>
            <w:tcW w:w="1704"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sz w:val="24"/>
                <w:szCs w:val="24"/>
                <w:lang w:val="ru-RU"/>
              </w:rPr>
            </w:pPr>
            <w:r>
              <w:rPr>
                <w:rFonts w:ascii="Times New Roman" w:hAnsi="Times New Roman"/>
                <w:sz w:val="24"/>
                <w:szCs w:val="24"/>
                <w:lang w:val="ru-RU"/>
              </w:rPr>
              <w:t>245,1 тыс. га</w:t>
            </w:r>
          </w:p>
        </w:tc>
        <w:tc>
          <w:tcPr>
            <w:tcW w:w="170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sz w:val="24"/>
                <w:szCs w:val="24"/>
                <w:lang w:val="ru-RU"/>
              </w:rPr>
            </w:pPr>
            <w:r>
              <w:rPr>
                <w:rFonts w:ascii="Times New Roman" w:hAnsi="Times New Roman"/>
                <w:sz w:val="24"/>
                <w:szCs w:val="24"/>
                <w:lang w:val="ru-RU"/>
              </w:rPr>
              <w:t>245,2 тыс. га</w:t>
            </w:r>
          </w:p>
        </w:tc>
        <w:tc>
          <w:tcPr>
            <w:tcW w:w="170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sz w:val="24"/>
                <w:szCs w:val="24"/>
                <w:lang w:val="ru-RU"/>
              </w:rPr>
            </w:pPr>
            <w:r>
              <w:rPr>
                <w:rFonts w:ascii="Times New Roman" w:hAnsi="Times New Roman"/>
                <w:sz w:val="24"/>
                <w:szCs w:val="24"/>
                <w:lang w:val="ru-RU"/>
              </w:rPr>
              <w:t>249,3 тыс. га</w:t>
            </w:r>
          </w:p>
        </w:tc>
        <w:tc>
          <w:tcPr>
            <w:tcW w:w="162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sz w:val="24"/>
                <w:szCs w:val="24"/>
                <w:lang w:val="ru-RU"/>
              </w:rPr>
            </w:pPr>
            <w:r>
              <w:rPr>
                <w:rFonts w:ascii="Times New Roman" w:hAnsi="Times New Roman"/>
                <w:sz w:val="24"/>
                <w:szCs w:val="24"/>
                <w:lang w:val="ru-RU"/>
              </w:rPr>
              <w:t>249,4 тыс.га</w:t>
            </w:r>
          </w:p>
        </w:tc>
        <w:tc>
          <w:tcPr>
            <w:tcW w:w="1632"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sz w:val="24"/>
                <w:szCs w:val="24"/>
                <w:lang w:val="ru-RU"/>
              </w:rPr>
            </w:pPr>
            <w:r>
              <w:rPr>
                <w:rFonts w:ascii="Times New Roman" w:hAnsi="Times New Roman"/>
                <w:sz w:val="24"/>
                <w:szCs w:val="24"/>
                <w:lang w:val="ru-RU"/>
              </w:rPr>
              <w:t>249,4 тыс.га</w:t>
            </w:r>
          </w:p>
        </w:tc>
      </w:tr>
    </w:tbl>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В структуре общих площадей земель городов и поселков преобладают земли жилой, общественно-деловой застройки, сельскохозяйственного использования и земли, не вовлеченные в градостроительную и иную деятельность. В структуре общих площадей земель сельских населенных пунктов преобладают земли сельскохозяйственного использования (огороды, сады, пашни, приусадебные земли).</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 состав земель, относимых к категории земель населенных пунктов, входят как сельскохозяйственные, так и несельскохозяйственные угодья.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Общая площадь сельскохозяйственных угодий, находящихся в пределах границ городов, поселков и сельских населенных пунктов составляет 67,2 тыс. га (26,9 % общей площади земель, включенных в данную категорию).</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Из несельскохозяйственных угодий наиболее значительные площади в структуре земель населенных пунктов заняты застройкой</w:t>
      </w:r>
      <w:r>
        <w:rPr>
          <w:rFonts w:ascii="Times New Roman" w:hAnsi="Times New Roman"/>
          <w:sz w:val="28"/>
          <w:szCs w:val="28"/>
        </w:rPr>
        <w:t> </w:t>
      </w:r>
      <w:r>
        <w:rPr>
          <w:rFonts w:ascii="Times New Roman" w:hAnsi="Times New Roman"/>
          <w:sz w:val="28"/>
          <w:szCs w:val="28"/>
          <w:lang w:val="ru-RU"/>
        </w:rPr>
        <w:t>–</w:t>
      </w:r>
      <w:r>
        <w:rPr>
          <w:rFonts w:ascii="Times New Roman" w:hAnsi="Times New Roman"/>
          <w:sz w:val="28"/>
          <w:szCs w:val="28"/>
        </w:rPr>
        <w:t> </w:t>
      </w:r>
      <w:r>
        <w:rPr>
          <w:rFonts w:ascii="Times New Roman" w:hAnsi="Times New Roman"/>
          <w:sz w:val="28"/>
          <w:szCs w:val="28"/>
          <w:lang w:val="ru-RU"/>
        </w:rPr>
        <w:t>76,4 тыс. га (30,6</w:t>
      </w:r>
      <w:r>
        <w:rPr>
          <w:rFonts w:ascii="Times New Roman" w:hAnsi="Times New Roman"/>
          <w:sz w:val="28"/>
          <w:szCs w:val="28"/>
        </w:rPr>
        <w:t> </w:t>
      </w:r>
      <w:r>
        <w:rPr>
          <w:rFonts w:ascii="Times New Roman" w:hAnsi="Times New Roman"/>
          <w:sz w:val="28"/>
          <w:szCs w:val="28"/>
          <w:lang w:val="ru-RU"/>
        </w:rPr>
        <w:t>%), под дорогами, улицами и площадями находится – 22,7 тыс. га (9,1</w:t>
      </w:r>
      <w:r>
        <w:rPr>
          <w:rFonts w:ascii="Times New Roman" w:hAnsi="Times New Roman"/>
          <w:sz w:val="28"/>
          <w:szCs w:val="28"/>
        </w:rPr>
        <w:t> </w:t>
      </w:r>
      <w:r>
        <w:rPr>
          <w:rFonts w:ascii="Times New Roman" w:hAnsi="Times New Roman"/>
          <w:sz w:val="28"/>
          <w:szCs w:val="28"/>
          <w:lang w:val="ru-RU"/>
        </w:rPr>
        <w:t xml:space="preserve">%). </w:t>
      </w:r>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Структура земель в городах, поселках и в сельских населенных пунктах приведена в таблице 2 и на диаграммах (рис. 3, рис.4).</w:t>
      </w:r>
    </w:p>
    <w:p>
      <w:pPr>
        <w:pStyle w:val="NormalWeb"/>
        <w:numPr>
          <w:ilvl w:val="0"/>
          <w:numId w:val="0"/>
        </w:numPr>
        <w:spacing w:lineRule="auto" w:line="240" w:before="0" w:after="0"/>
        <w:jc w:val="center"/>
        <w:outlineLvl w:val="0"/>
        <w:rPr>
          <w:rFonts w:ascii="Times New Roman" w:hAnsi="Times New Roman"/>
          <w:b/>
          <w:b/>
          <w:sz w:val="24"/>
          <w:szCs w:val="24"/>
          <w:lang w:val="ru-RU"/>
        </w:rPr>
      </w:pPr>
      <w:r>
        <w:rPr>
          <w:rFonts w:ascii="Times New Roman" w:hAnsi="Times New Roman"/>
          <w:b/>
          <w:sz w:val="24"/>
          <w:szCs w:val="24"/>
          <w:lang w:val="ru-RU"/>
        </w:rPr>
      </w:r>
      <w:bookmarkStart w:id="90" w:name="_Toc65489218"/>
      <w:bookmarkStart w:id="91" w:name="_Toc96823387"/>
      <w:bookmarkStart w:id="92" w:name="_Toc65489218"/>
      <w:bookmarkStart w:id="93" w:name="_Toc96823387"/>
    </w:p>
    <w:p>
      <w:pPr>
        <w:pStyle w:val="NormalWeb"/>
        <w:numPr>
          <w:ilvl w:val="0"/>
          <w:numId w:val="0"/>
        </w:numPr>
        <w:spacing w:lineRule="auto" w:line="240" w:before="0" w:after="200"/>
        <w:contextualSpacing/>
        <w:jc w:val="center"/>
        <w:outlineLvl w:val="0"/>
        <w:rPr>
          <w:rFonts w:ascii="Times New Roman" w:hAnsi="Times New Roman"/>
          <w:b/>
          <w:b/>
          <w:sz w:val="24"/>
          <w:szCs w:val="24"/>
          <w:lang w:val="ru-RU"/>
        </w:rPr>
      </w:pPr>
      <w:bookmarkStart w:id="94" w:name="_Toc65489218"/>
      <w:bookmarkStart w:id="95" w:name="_Toc96823387"/>
      <w:r>
        <w:rPr>
          <w:rFonts w:ascii="Times New Roman" w:hAnsi="Times New Roman"/>
          <w:b/>
          <w:sz w:val="24"/>
          <w:szCs w:val="24"/>
          <w:lang w:val="ru-RU"/>
        </w:rPr>
        <w:t>Площади в структуре земель населенных пунктов края за 2016 год</w:t>
      </w:r>
      <w:bookmarkEnd w:id="94"/>
      <w:bookmarkEnd w:id="95"/>
    </w:p>
    <w:p>
      <w:pPr>
        <w:pStyle w:val="NormalWeb"/>
        <w:spacing w:lineRule="auto" w:line="240" w:before="0" w:after="0"/>
        <w:ind w:left="7200" w:firstLine="720"/>
        <w:contextualSpacing/>
        <w:jc w:val="right"/>
        <w:rPr>
          <w:rFonts w:ascii="Times New Roman" w:hAnsi="Times New Roman"/>
          <w:sz w:val="24"/>
          <w:szCs w:val="24"/>
          <w:lang w:val="ru-RU"/>
        </w:rPr>
      </w:pPr>
      <w:r>
        <w:rPr>
          <w:rFonts w:ascii="Times New Roman" w:hAnsi="Times New Roman"/>
          <w:sz w:val="24"/>
          <w:szCs w:val="24"/>
        </w:rPr>
        <w:t>Таблица 2</w:t>
      </w:r>
    </w:p>
    <w:tbl>
      <w:tblPr>
        <w:tblW w:w="9570" w:type="dxa"/>
        <w:jc w:val="center"/>
        <w:tblInd w:w="0" w:type="dxa"/>
        <w:tblLayout w:type="fixed"/>
        <w:tblCellMar>
          <w:top w:w="0" w:type="dxa"/>
          <w:left w:w="108" w:type="dxa"/>
          <w:bottom w:w="0" w:type="dxa"/>
          <w:right w:w="108" w:type="dxa"/>
        </w:tblCellMar>
        <w:tblLook w:val="00a0" w:noHBand="0" w:noVBand="0" w:firstColumn="1" w:lastRow="0" w:lastColumn="0" w:firstRow="1"/>
      </w:tblPr>
      <w:tblGrid>
        <w:gridCol w:w="666"/>
        <w:gridCol w:w="3063"/>
        <w:gridCol w:w="1632"/>
        <w:gridCol w:w="1497"/>
        <w:gridCol w:w="1376"/>
        <w:gridCol w:w="1335"/>
      </w:tblGrid>
      <w:tr>
        <w:trPr/>
        <w:tc>
          <w:tcPr>
            <w:tcW w:w="66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val="en-US" w:eastAsia="en-US"/>
              </w:rPr>
            </w:pPr>
            <w:r>
              <w:rPr>
                <w:rFonts w:ascii="Times New Roman" w:hAnsi="Times New Roman"/>
                <w:sz w:val="20"/>
                <w:szCs w:val="20"/>
              </w:rPr>
              <w:t xml:space="preserve">№ </w:t>
            </w:r>
            <w:r>
              <w:rPr>
                <w:rFonts w:ascii="Times New Roman" w:hAnsi="Times New Roman"/>
                <w:sz w:val="20"/>
                <w:szCs w:val="20"/>
              </w:rPr>
              <w:t>п.п.</w:t>
            </w:r>
          </w:p>
        </w:tc>
        <w:tc>
          <w:tcPr>
            <w:tcW w:w="306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val="en-US" w:eastAsia="en-US"/>
              </w:rPr>
            </w:pPr>
            <w:r>
              <w:rPr>
                <w:rFonts w:ascii="Times New Roman" w:hAnsi="Times New Roman"/>
                <w:sz w:val="20"/>
                <w:szCs w:val="20"/>
              </w:rPr>
              <w:t>Состав земель</w:t>
            </w:r>
          </w:p>
        </w:tc>
        <w:tc>
          <w:tcPr>
            <w:tcW w:w="5840"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val="en-US" w:eastAsia="en-US"/>
              </w:rPr>
            </w:pPr>
            <w:r>
              <w:rPr>
                <w:rFonts w:ascii="Times New Roman" w:hAnsi="Times New Roman"/>
                <w:sz w:val="20"/>
                <w:szCs w:val="20"/>
              </w:rPr>
              <w:t>Общие площади</w:t>
            </w:r>
          </w:p>
        </w:tc>
      </w:tr>
      <w:tr>
        <w:trPr/>
        <w:tc>
          <w:tcPr>
            <w:tcW w:w="6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306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312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val="en-US" w:eastAsia="en-US"/>
              </w:rPr>
            </w:pPr>
            <w:r>
              <w:rPr>
                <w:rFonts w:ascii="Times New Roman" w:hAnsi="Times New Roman"/>
                <w:sz w:val="20"/>
                <w:szCs w:val="20"/>
              </w:rPr>
              <w:t>В городах и поселках</w:t>
            </w:r>
          </w:p>
        </w:tc>
        <w:tc>
          <w:tcPr>
            <w:tcW w:w="271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val="en-US" w:eastAsia="en-US"/>
              </w:rPr>
            </w:pPr>
            <w:r>
              <w:rPr>
                <w:rFonts w:ascii="Times New Roman" w:hAnsi="Times New Roman"/>
                <w:sz w:val="20"/>
                <w:szCs w:val="20"/>
              </w:rPr>
              <w:t>В сельских населенных пунктах</w:t>
            </w:r>
          </w:p>
        </w:tc>
      </w:tr>
      <w:tr>
        <w:trPr/>
        <w:tc>
          <w:tcPr>
            <w:tcW w:w="6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306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16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val="en-US" w:eastAsia="en-US"/>
              </w:rPr>
            </w:pPr>
            <w:r>
              <w:rPr>
                <w:rFonts w:ascii="Times New Roman" w:hAnsi="Times New Roman"/>
                <w:sz w:val="20"/>
                <w:szCs w:val="20"/>
              </w:rPr>
              <w:t>тыс. га</w:t>
            </w:r>
          </w:p>
        </w:tc>
        <w:tc>
          <w:tcPr>
            <w:tcW w:w="14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val="en-US" w:eastAsia="en-US"/>
              </w:rPr>
            </w:pPr>
            <w:r>
              <w:rPr>
                <w:rFonts w:ascii="Times New Roman" w:hAnsi="Times New Roman"/>
                <w:sz w:val="20"/>
                <w:szCs w:val="20"/>
              </w:rPr>
              <w:t>%</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val="en-US" w:eastAsia="en-US"/>
              </w:rPr>
            </w:pPr>
            <w:r>
              <w:rPr>
                <w:rFonts w:ascii="Times New Roman" w:hAnsi="Times New Roman"/>
                <w:sz w:val="20"/>
                <w:szCs w:val="20"/>
              </w:rPr>
              <w:t>тыс. га</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val="en-US" w:eastAsia="en-US"/>
              </w:rPr>
            </w:pPr>
            <w:r>
              <w:rPr>
                <w:rFonts w:ascii="Times New Roman" w:hAnsi="Times New Roman"/>
                <w:sz w:val="20"/>
                <w:szCs w:val="20"/>
              </w:rPr>
              <w:t>%</w:t>
            </w:r>
          </w:p>
        </w:tc>
      </w:tr>
      <w:tr>
        <w:trPr>
          <w:trHeight w:val="599" w:hRule="atLeast"/>
        </w:trPr>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rPr>
            </w:pPr>
            <w:r>
              <w:rPr>
                <w:rFonts w:ascii="Times New Roman" w:hAnsi="Times New Roman"/>
                <w:sz w:val="20"/>
                <w:szCs w:val="20"/>
              </w:rPr>
              <w:t>1</w:t>
            </w:r>
          </w:p>
        </w:tc>
        <w:tc>
          <w:tcPr>
            <w:tcW w:w="30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sz w:val="20"/>
                <w:szCs w:val="20"/>
                <w:lang w:val="ru-RU"/>
              </w:rPr>
            </w:pPr>
            <w:r>
              <w:rPr>
                <w:rFonts w:ascii="Times New Roman" w:hAnsi="Times New Roman"/>
                <w:sz w:val="20"/>
                <w:szCs w:val="20"/>
                <w:lang w:val="ru-RU"/>
              </w:rPr>
              <w:t>Земли жилой застройки</w:t>
            </w:r>
          </w:p>
        </w:tc>
        <w:tc>
          <w:tcPr>
            <w:tcW w:w="16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28,8</w:t>
            </w:r>
          </w:p>
        </w:tc>
        <w:tc>
          <w:tcPr>
            <w:tcW w:w="14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w:t>
            </w:r>
            <w:r>
              <w:rPr>
                <w:rFonts w:ascii="Times New Roman" w:hAnsi="Times New Roman"/>
                <w:sz w:val="20"/>
                <w:szCs w:val="20"/>
                <w:lang w:val="en-US" w:eastAsia="en-US"/>
              </w:rPr>
              <w:t>8</w:t>
            </w:r>
            <w:r>
              <w:rPr>
                <w:rFonts w:ascii="Times New Roman" w:hAnsi="Times New Roman"/>
                <w:sz w:val="20"/>
                <w:szCs w:val="20"/>
                <w:lang w:eastAsia="en-US"/>
              </w:rPr>
              <w:t>,7%</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6,3</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val="en-US" w:eastAsia="en-US"/>
              </w:rPr>
              <w:t>6</w:t>
            </w:r>
            <w:r>
              <w:rPr>
                <w:rFonts w:ascii="Times New Roman" w:hAnsi="Times New Roman"/>
                <w:sz w:val="20"/>
                <w:szCs w:val="20"/>
                <w:lang w:eastAsia="en-US"/>
              </w:rPr>
              <w:t>,6%</w:t>
            </w:r>
          </w:p>
        </w:tc>
      </w:tr>
      <w:tr>
        <w:trPr>
          <w:trHeight w:val="680" w:hRule="atLeast"/>
        </w:trPr>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rPr>
            </w:pPr>
            <w:r>
              <w:rPr>
                <w:rFonts w:ascii="Times New Roman" w:hAnsi="Times New Roman"/>
                <w:sz w:val="20"/>
                <w:szCs w:val="20"/>
              </w:rPr>
              <w:t>2</w:t>
            </w:r>
          </w:p>
        </w:tc>
        <w:tc>
          <w:tcPr>
            <w:tcW w:w="30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sz w:val="20"/>
                <w:szCs w:val="20"/>
                <w:lang w:val="ru-RU"/>
              </w:rPr>
            </w:pPr>
            <w:r>
              <w:rPr>
                <w:rFonts w:ascii="Times New Roman" w:hAnsi="Times New Roman"/>
                <w:sz w:val="20"/>
                <w:szCs w:val="20"/>
                <w:lang w:val="ru-RU"/>
              </w:rPr>
              <w:t>Земли общественно-деловой застройки</w:t>
            </w:r>
          </w:p>
        </w:tc>
        <w:tc>
          <w:tcPr>
            <w:tcW w:w="16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18,2</w:t>
            </w:r>
          </w:p>
        </w:tc>
        <w:tc>
          <w:tcPr>
            <w:tcW w:w="14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11,8%</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6,6</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6,</w:t>
            </w:r>
            <w:r>
              <w:rPr>
                <w:rFonts w:ascii="Times New Roman" w:hAnsi="Times New Roman"/>
                <w:sz w:val="20"/>
                <w:szCs w:val="20"/>
                <w:lang w:val="en-US" w:eastAsia="en-US"/>
              </w:rPr>
              <w:t>9</w:t>
            </w:r>
            <w:r>
              <w:rPr>
                <w:rFonts w:ascii="Times New Roman" w:hAnsi="Times New Roman"/>
                <w:sz w:val="20"/>
                <w:szCs w:val="20"/>
                <w:lang w:eastAsia="en-US"/>
              </w:rPr>
              <w:t>%</w:t>
            </w:r>
          </w:p>
        </w:tc>
      </w:tr>
      <w:tr>
        <w:trPr>
          <w:trHeight w:val="575" w:hRule="atLeast"/>
        </w:trPr>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rPr>
            </w:pPr>
            <w:r>
              <w:rPr>
                <w:rFonts w:ascii="Times New Roman" w:hAnsi="Times New Roman"/>
                <w:sz w:val="20"/>
                <w:szCs w:val="20"/>
              </w:rPr>
              <w:t>3</w:t>
            </w:r>
          </w:p>
        </w:tc>
        <w:tc>
          <w:tcPr>
            <w:tcW w:w="30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sz w:val="20"/>
                <w:szCs w:val="20"/>
                <w:lang w:val="ru-RU"/>
              </w:rPr>
            </w:pPr>
            <w:r>
              <w:rPr>
                <w:rFonts w:ascii="Times New Roman" w:hAnsi="Times New Roman"/>
                <w:sz w:val="20"/>
                <w:szCs w:val="20"/>
                <w:lang w:val="ru-RU"/>
              </w:rPr>
              <w:t>Земли промышленности</w:t>
            </w:r>
          </w:p>
        </w:tc>
        <w:tc>
          <w:tcPr>
            <w:tcW w:w="16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11</w:t>
            </w:r>
          </w:p>
        </w:tc>
        <w:tc>
          <w:tcPr>
            <w:tcW w:w="14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val="en-US" w:eastAsia="en-US"/>
              </w:rPr>
              <w:t>7</w:t>
            </w:r>
            <w:r>
              <w:rPr>
                <w:rFonts w:ascii="Times New Roman" w:hAnsi="Times New Roman"/>
                <w:sz w:val="20"/>
                <w:szCs w:val="20"/>
                <w:lang w:eastAsia="en-US"/>
              </w:rPr>
              <w:t>,2%</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4,5</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4,</w:t>
            </w:r>
            <w:r>
              <w:rPr>
                <w:rFonts w:ascii="Times New Roman" w:hAnsi="Times New Roman"/>
                <w:sz w:val="20"/>
                <w:szCs w:val="20"/>
                <w:lang w:val="en-US" w:eastAsia="en-US"/>
              </w:rPr>
              <w:t>7</w:t>
            </w:r>
            <w:r>
              <w:rPr>
                <w:rFonts w:ascii="Times New Roman" w:hAnsi="Times New Roman"/>
                <w:sz w:val="20"/>
                <w:szCs w:val="20"/>
                <w:lang w:eastAsia="en-US"/>
              </w:rPr>
              <w:t>%</w:t>
            </w:r>
          </w:p>
        </w:tc>
      </w:tr>
      <w:tr>
        <w:trPr>
          <w:trHeight w:val="555" w:hRule="atLeast"/>
        </w:trPr>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rPr>
            </w:pPr>
            <w:r>
              <w:rPr>
                <w:rFonts w:ascii="Times New Roman" w:hAnsi="Times New Roman"/>
                <w:sz w:val="20"/>
                <w:szCs w:val="20"/>
              </w:rPr>
              <w:t>4</w:t>
            </w:r>
          </w:p>
        </w:tc>
        <w:tc>
          <w:tcPr>
            <w:tcW w:w="30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sz w:val="20"/>
                <w:szCs w:val="20"/>
                <w:lang w:val="ru-RU"/>
              </w:rPr>
            </w:pPr>
            <w:r>
              <w:rPr>
                <w:rFonts w:ascii="Times New Roman" w:hAnsi="Times New Roman"/>
                <w:sz w:val="20"/>
                <w:szCs w:val="20"/>
                <w:lang w:val="ru-RU"/>
              </w:rPr>
              <w:t>Земли общего пользования</w:t>
            </w:r>
          </w:p>
        </w:tc>
        <w:tc>
          <w:tcPr>
            <w:tcW w:w="16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9</w:t>
            </w:r>
          </w:p>
        </w:tc>
        <w:tc>
          <w:tcPr>
            <w:tcW w:w="14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5,</w:t>
            </w:r>
            <w:r>
              <w:rPr>
                <w:rFonts w:ascii="Times New Roman" w:hAnsi="Times New Roman"/>
                <w:sz w:val="20"/>
                <w:szCs w:val="20"/>
                <w:lang w:val="en-US" w:eastAsia="en-US"/>
              </w:rPr>
              <w:t>8</w:t>
            </w:r>
            <w:r>
              <w:rPr>
                <w:rFonts w:ascii="Times New Roman" w:hAnsi="Times New Roman"/>
                <w:sz w:val="20"/>
                <w:szCs w:val="20"/>
                <w:lang w:eastAsia="en-US"/>
              </w:rPr>
              <w:t>%</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8,2</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8,</w:t>
            </w:r>
            <w:r>
              <w:rPr>
                <w:rFonts w:ascii="Times New Roman" w:hAnsi="Times New Roman"/>
                <w:sz w:val="20"/>
                <w:szCs w:val="20"/>
                <w:lang w:val="en-US" w:eastAsia="en-US"/>
              </w:rPr>
              <w:t>6</w:t>
            </w:r>
            <w:r>
              <w:rPr>
                <w:rFonts w:ascii="Times New Roman" w:hAnsi="Times New Roman"/>
                <w:sz w:val="20"/>
                <w:szCs w:val="20"/>
                <w:lang w:eastAsia="en-US"/>
              </w:rPr>
              <w:t>%</w:t>
            </w:r>
          </w:p>
        </w:tc>
      </w:tr>
      <w:tr>
        <w:trPr>
          <w:trHeight w:val="680" w:hRule="atLeast"/>
        </w:trPr>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rPr>
            </w:pPr>
            <w:r>
              <w:rPr>
                <w:rFonts w:ascii="Times New Roman" w:hAnsi="Times New Roman"/>
                <w:sz w:val="20"/>
                <w:szCs w:val="20"/>
              </w:rPr>
              <w:t>5</w:t>
            </w:r>
          </w:p>
        </w:tc>
        <w:tc>
          <w:tcPr>
            <w:tcW w:w="30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sz w:val="20"/>
                <w:szCs w:val="20"/>
                <w:lang w:val="ru-RU"/>
              </w:rPr>
            </w:pPr>
            <w:r>
              <w:rPr>
                <w:rFonts w:ascii="Times New Roman" w:hAnsi="Times New Roman"/>
                <w:sz w:val="20"/>
                <w:szCs w:val="20"/>
                <w:lang w:val="ru-RU"/>
              </w:rPr>
              <w:t>Земли под объектами транспорта, связи, инженерных коммуникаций</w:t>
            </w:r>
          </w:p>
        </w:tc>
        <w:tc>
          <w:tcPr>
            <w:tcW w:w="16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8,1</w:t>
            </w:r>
          </w:p>
        </w:tc>
        <w:tc>
          <w:tcPr>
            <w:tcW w:w="14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5,3%</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2,4</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2,</w:t>
            </w:r>
            <w:r>
              <w:rPr>
                <w:rFonts w:ascii="Times New Roman" w:hAnsi="Times New Roman"/>
                <w:sz w:val="20"/>
                <w:szCs w:val="20"/>
                <w:lang w:val="en-US" w:eastAsia="en-US"/>
              </w:rPr>
              <w:t>5</w:t>
            </w:r>
            <w:r>
              <w:rPr>
                <w:rFonts w:ascii="Times New Roman" w:hAnsi="Times New Roman"/>
                <w:sz w:val="20"/>
                <w:szCs w:val="20"/>
                <w:lang w:eastAsia="en-US"/>
              </w:rPr>
              <w:t>%</w:t>
            </w:r>
          </w:p>
        </w:tc>
      </w:tr>
      <w:tr>
        <w:trPr>
          <w:trHeight w:val="680" w:hRule="atLeast"/>
        </w:trPr>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rPr>
            </w:pPr>
            <w:r>
              <w:rPr>
                <w:rFonts w:ascii="Times New Roman" w:hAnsi="Times New Roman"/>
                <w:sz w:val="20"/>
                <w:szCs w:val="20"/>
              </w:rPr>
              <w:t>6</w:t>
            </w:r>
          </w:p>
        </w:tc>
        <w:tc>
          <w:tcPr>
            <w:tcW w:w="30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sz w:val="20"/>
                <w:szCs w:val="20"/>
                <w:lang w:val="ru-RU"/>
              </w:rPr>
            </w:pPr>
            <w:r>
              <w:rPr>
                <w:rFonts w:ascii="Times New Roman" w:hAnsi="Times New Roman"/>
                <w:sz w:val="20"/>
                <w:szCs w:val="20"/>
                <w:lang w:val="ru-RU"/>
              </w:rPr>
              <w:t>Земли сельскохозяйственного использования</w:t>
            </w:r>
          </w:p>
        </w:tc>
        <w:tc>
          <w:tcPr>
            <w:tcW w:w="16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14,9</w:t>
            </w:r>
          </w:p>
        </w:tc>
        <w:tc>
          <w:tcPr>
            <w:tcW w:w="14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9,7%</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46,4</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4</w:t>
            </w:r>
            <w:r>
              <w:rPr>
                <w:rFonts w:ascii="Times New Roman" w:hAnsi="Times New Roman"/>
                <w:sz w:val="20"/>
                <w:szCs w:val="20"/>
                <w:lang w:val="en-US" w:eastAsia="en-US"/>
              </w:rPr>
              <w:t>8</w:t>
            </w:r>
            <w:r>
              <w:rPr>
                <w:rFonts w:ascii="Times New Roman" w:hAnsi="Times New Roman"/>
                <w:sz w:val="20"/>
                <w:szCs w:val="20"/>
                <w:lang w:eastAsia="en-US"/>
              </w:rPr>
              <w:t>,6%</w:t>
            </w:r>
          </w:p>
        </w:tc>
      </w:tr>
      <w:tr>
        <w:trPr>
          <w:trHeight w:val="680" w:hRule="atLeast"/>
        </w:trPr>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rPr>
            </w:pPr>
            <w:r>
              <w:rPr>
                <w:rFonts w:ascii="Times New Roman" w:hAnsi="Times New Roman"/>
                <w:sz w:val="20"/>
                <w:szCs w:val="20"/>
              </w:rPr>
              <w:t>7</w:t>
            </w:r>
          </w:p>
        </w:tc>
        <w:tc>
          <w:tcPr>
            <w:tcW w:w="30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sz w:val="20"/>
                <w:szCs w:val="20"/>
                <w:lang w:val="ru-RU"/>
              </w:rPr>
            </w:pPr>
            <w:r>
              <w:rPr>
                <w:rFonts w:ascii="Times New Roman" w:hAnsi="Times New Roman"/>
                <w:sz w:val="20"/>
                <w:szCs w:val="20"/>
                <w:lang w:val="ru-RU"/>
              </w:rPr>
              <w:t>Земли особо охраняемых территорий и объектов</w:t>
            </w:r>
          </w:p>
        </w:tc>
        <w:tc>
          <w:tcPr>
            <w:tcW w:w="16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16,4</w:t>
            </w:r>
          </w:p>
        </w:tc>
        <w:tc>
          <w:tcPr>
            <w:tcW w:w="14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10,</w:t>
            </w:r>
            <w:r>
              <w:rPr>
                <w:rFonts w:ascii="Times New Roman" w:hAnsi="Times New Roman"/>
                <w:sz w:val="20"/>
                <w:szCs w:val="20"/>
                <w:lang w:val="en-US" w:eastAsia="en-US"/>
              </w:rPr>
              <w:t>7</w:t>
            </w:r>
            <w:r>
              <w:rPr>
                <w:rFonts w:ascii="Times New Roman" w:hAnsi="Times New Roman"/>
                <w:sz w:val="20"/>
                <w:szCs w:val="20"/>
                <w:lang w:eastAsia="en-US"/>
              </w:rPr>
              <w:t>%</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1,1</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1,2%</w:t>
            </w:r>
          </w:p>
        </w:tc>
      </w:tr>
      <w:tr>
        <w:trPr>
          <w:trHeight w:val="607" w:hRule="atLeast"/>
        </w:trPr>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rPr>
            </w:pPr>
            <w:r>
              <w:rPr>
                <w:rFonts w:ascii="Times New Roman" w:hAnsi="Times New Roman"/>
                <w:sz w:val="20"/>
                <w:szCs w:val="20"/>
              </w:rPr>
              <w:t>8</w:t>
            </w:r>
          </w:p>
        </w:tc>
        <w:tc>
          <w:tcPr>
            <w:tcW w:w="30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sz w:val="20"/>
                <w:szCs w:val="20"/>
                <w:lang w:val="ru-RU"/>
              </w:rPr>
            </w:pPr>
            <w:r>
              <w:rPr>
                <w:rFonts w:ascii="Times New Roman" w:hAnsi="Times New Roman"/>
                <w:sz w:val="20"/>
                <w:szCs w:val="20"/>
                <w:lang w:val="ru-RU"/>
              </w:rPr>
              <w:t>Земли лесничеств и лесопарков</w:t>
            </w:r>
          </w:p>
        </w:tc>
        <w:tc>
          <w:tcPr>
            <w:tcW w:w="16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8,5</w:t>
            </w:r>
          </w:p>
        </w:tc>
        <w:tc>
          <w:tcPr>
            <w:tcW w:w="14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5,5%</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0,2</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0,2%</w:t>
            </w:r>
          </w:p>
        </w:tc>
      </w:tr>
      <w:tr>
        <w:trPr>
          <w:trHeight w:val="559" w:hRule="atLeast"/>
        </w:trPr>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rPr>
            </w:pPr>
            <w:r>
              <w:rPr>
                <w:rFonts w:ascii="Times New Roman" w:hAnsi="Times New Roman"/>
                <w:sz w:val="20"/>
                <w:szCs w:val="20"/>
              </w:rPr>
              <w:t>9</w:t>
            </w:r>
          </w:p>
        </w:tc>
        <w:tc>
          <w:tcPr>
            <w:tcW w:w="30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sz w:val="20"/>
                <w:szCs w:val="20"/>
                <w:lang w:val="ru-RU"/>
              </w:rPr>
            </w:pPr>
            <w:r>
              <w:rPr>
                <w:rFonts w:ascii="Times New Roman" w:hAnsi="Times New Roman"/>
                <w:sz w:val="20"/>
                <w:szCs w:val="20"/>
                <w:lang w:val="ru-RU"/>
              </w:rPr>
              <w:t>Земли под водными объектами</w:t>
            </w:r>
          </w:p>
        </w:tc>
        <w:tc>
          <w:tcPr>
            <w:tcW w:w="16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1,6</w:t>
            </w:r>
          </w:p>
        </w:tc>
        <w:tc>
          <w:tcPr>
            <w:tcW w:w="14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w:t>
            </w:r>
            <w:r>
              <w:rPr>
                <w:rFonts w:ascii="Times New Roman" w:hAnsi="Times New Roman"/>
                <w:sz w:val="20"/>
                <w:szCs w:val="20"/>
                <w:lang w:val="en-US" w:eastAsia="en-US"/>
              </w:rPr>
              <w:t>0</w:t>
            </w:r>
            <w:r>
              <w:rPr>
                <w:rFonts w:ascii="Times New Roman" w:hAnsi="Times New Roman"/>
                <w:sz w:val="20"/>
                <w:szCs w:val="20"/>
                <w:lang w:eastAsia="en-US"/>
              </w:rPr>
              <w:t>%</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0,3</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0,3%</w:t>
            </w:r>
          </w:p>
        </w:tc>
      </w:tr>
      <w:tr>
        <w:trPr>
          <w:trHeight w:val="680" w:hRule="atLeast"/>
        </w:trPr>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rPr>
            </w:pPr>
            <w:r>
              <w:rPr>
                <w:rFonts w:ascii="Times New Roman" w:hAnsi="Times New Roman"/>
                <w:sz w:val="20"/>
                <w:szCs w:val="20"/>
              </w:rPr>
              <w:t>10</w:t>
            </w:r>
          </w:p>
        </w:tc>
        <w:tc>
          <w:tcPr>
            <w:tcW w:w="30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sz w:val="20"/>
                <w:szCs w:val="20"/>
                <w:lang w:val="ru-RU"/>
              </w:rPr>
            </w:pPr>
            <w:r>
              <w:rPr>
                <w:rFonts w:ascii="Times New Roman" w:hAnsi="Times New Roman"/>
                <w:sz w:val="20"/>
                <w:szCs w:val="20"/>
                <w:lang w:val="ru-RU"/>
              </w:rPr>
              <w:t>Земли под военными и иными режимными объектами</w:t>
            </w:r>
          </w:p>
        </w:tc>
        <w:tc>
          <w:tcPr>
            <w:tcW w:w="16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11,6</w:t>
            </w:r>
          </w:p>
        </w:tc>
        <w:tc>
          <w:tcPr>
            <w:tcW w:w="14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7,</w:t>
            </w:r>
            <w:r>
              <w:rPr>
                <w:rFonts w:ascii="Times New Roman" w:hAnsi="Times New Roman"/>
                <w:sz w:val="20"/>
                <w:szCs w:val="20"/>
                <w:lang w:val="en-US" w:eastAsia="en-US"/>
              </w:rPr>
              <w:t>5</w:t>
            </w:r>
            <w:r>
              <w:rPr>
                <w:rFonts w:ascii="Times New Roman" w:hAnsi="Times New Roman"/>
                <w:sz w:val="20"/>
                <w:szCs w:val="20"/>
                <w:lang w:eastAsia="en-US"/>
              </w:rPr>
              <w:t>%</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5,1</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val="en-US" w:eastAsia="en-US"/>
              </w:rPr>
              <w:t>5</w:t>
            </w:r>
            <w:r>
              <w:rPr>
                <w:rFonts w:ascii="Times New Roman" w:hAnsi="Times New Roman"/>
                <w:sz w:val="20"/>
                <w:szCs w:val="20"/>
                <w:lang w:eastAsia="en-US"/>
              </w:rPr>
              <w:t>,3%</w:t>
            </w:r>
          </w:p>
        </w:tc>
      </w:tr>
      <w:tr>
        <w:trPr>
          <w:trHeight w:val="680" w:hRule="atLeast"/>
        </w:trPr>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rPr>
            </w:pPr>
            <w:r>
              <w:rPr>
                <w:rFonts w:ascii="Times New Roman" w:hAnsi="Times New Roman"/>
                <w:sz w:val="20"/>
                <w:szCs w:val="20"/>
              </w:rPr>
              <w:t>11</w:t>
            </w:r>
          </w:p>
        </w:tc>
        <w:tc>
          <w:tcPr>
            <w:tcW w:w="30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sz w:val="20"/>
                <w:szCs w:val="20"/>
                <w:lang w:val="ru-RU"/>
              </w:rPr>
            </w:pPr>
            <w:r>
              <w:rPr>
                <w:rFonts w:ascii="Times New Roman" w:hAnsi="Times New Roman"/>
                <w:sz w:val="20"/>
                <w:szCs w:val="20"/>
                <w:lang w:val="ru-RU"/>
              </w:rPr>
              <w:t>Земли под объектами иного специального назначения</w:t>
            </w:r>
          </w:p>
        </w:tc>
        <w:tc>
          <w:tcPr>
            <w:tcW w:w="16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1,1</w:t>
            </w:r>
          </w:p>
        </w:tc>
        <w:tc>
          <w:tcPr>
            <w:tcW w:w="14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0,7%</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0,9</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0,9%</w:t>
            </w:r>
          </w:p>
        </w:tc>
      </w:tr>
      <w:tr>
        <w:trPr>
          <w:trHeight w:val="680" w:hRule="atLeast"/>
        </w:trPr>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rPr>
            </w:pPr>
            <w:r>
              <w:rPr>
                <w:rFonts w:ascii="Times New Roman" w:hAnsi="Times New Roman"/>
                <w:sz w:val="20"/>
                <w:szCs w:val="20"/>
              </w:rPr>
              <w:t>12</w:t>
            </w:r>
          </w:p>
        </w:tc>
        <w:tc>
          <w:tcPr>
            <w:tcW w:w="30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sz w:val="20"/>
                <w:szCs w:val="20"/>
                <w:lang w:val="ru-RU"/>
              </w:rPr>
            </w:pPr>
            <w:r>
              <w:rPr>
                <w:rFonts w:ascii="Times New Roman" w:hAnsi="Times New Roman"/>
                <w:sz w:val="20"/>
                <w:szCs w:val="20"/>
                <w:lang w:val="ru-RU"/>
              </w:rPr>
              <w:t>Земли, не вовлеченные в градостроительную и иную деятельность</w:t>
            </w:r>
          </w:p>
        </w:tc>
        <w:tc>
          <w:tcPr>
            <w:tcW w:w="16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24,7</w:t>
            </w:r>
          </w:p>
        </w:tc>
        <w:tc>
          <w:tcPr>
            <w:tcW w:w="14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w:t>
            </w:r>
            <w:r>
              <w:rPr>
                <w:rFonts w:ascii="Times New Roman" w:hAnsi="Times New Roman"/>
                <w:sz w:val="20"/>
                <w:szCs w:val="20"/>
                <w:lang w:val="en-US" w:eastAsia="en-US"/>
              </w:rPr>
              <w:t>6</w:t>
            </w:r>
            <w:r>
              <w:rPr>
                <w:rFonts w:ascii="Times New Roman" w:hAnsi="Times New Roman"/>
                <w:sz w:val="20"/>
                <w:szCs w:val="20"/>
                <w:lang w:eastAsia="en-US"/>
              </w:rPr>
              <w:t>,1%</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13,5</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0"/>
                <w:szCs w:val="20"/>
                <w:lang w:eastAsia="en-US"/>
              </w:rPr>
            </w:pPr>
            <w:r>
              <w:rPr>
                <w:rFonts w:ascii="Times New Roman" w:hAnsi="Times New Roman"/>
                <w:sz w:val="20"/>
                <w:szCs w:val="20"/>
                <w:lang w:eastAsia="en-US"/>
              </w:rPr>
              <w:t>14,2%</w:t>
            </w:r>
          </w:p>
        </w:tc>
      </w:tr>
    </w:tbl>
    <w:p>
      <w:pPr>
        <w:pStyle w:val="NormalWeb"/>
        <w:spacing w:lineRule="auto" w:line="240" w:before="0" w:after="0"/>
        <w:ind w:left="7200" w:firstLine="720"/>
        <w:contextualSpacing/>
        <w:rPr>
          <w:rFonts w:ascii="Times New Roman" w:hAnsi="Times New Roman"/>
          <w:sz w:val="24"/>
          <w:szCs w:val="24"/>
          <w:lang w:val="ru-RU"/>
        </w:rPr>
      </w:pPr>
      <w:r>
        <w:rPr>
          <w:rFonts w:ascii="Times New Roman" w:hAnsi="Times New Roman"/>
          <w:sz w:val="24"/>
          <w:szCs w:val="24"/>
          <w:lang w:val="ru-RU"/>
        </w:rPr>
      </w:r>
    </w:p>
    <w:p>
      <w:pPr>
        <w:pStyle w:val="NormalWeb"/>
        <w:spacing w:lineRule="auto" w:line="240" w:before="0" w:after="0"/>
        <w:ind w:left="7200" w:firstLine="720"/>
        <w:contextualSpacing/>
        <w:rPr>
          <w:rFonts w:ascii="Times New Roman" w:hAnsi="Times New Roman"/>
          <w:sz w:val="24"/>
          <w:szCs w:val="24"/>
          <w:lang w:val="ru-RU"/>
        </w:rPr>
      </w:pPr>
      <w:r>
        <w:rPr>
          <w:rFonts w:ascii="Times New Roman" w:hAnsi="Times New Roman"/>
          <w:sz w:val="24"/>
          <w:szCs w:val="24"/>
          <w:lang w:val="ru-RU"/>
        </w:rPr>
      </w:r>
    </w:p>
    <w:p>
      <w:pPr>
        <w:pStyle w:val="NormalWeb"/>
        <w:spacing w:lineRule="auto" w:line="240" w:before="0" w:after="0"/>
        <w:ind w:left="7200" w:firstLine="720"/>
        <w:contextualSpacing/>
        <w:rPr>
          <w:rFonts w:ascii="Times New Roman" w:hAnsi="Times New Roman"/>
          <w:sz w:val="24"/>
          <w:szCs w:val="24"/>
          <w:lang w:val="ru-RU"/>
        </w:rPr>
      </w:pPr>
      <w:r>
        <w:rPr>
          <w:rFonts w:ascii="Times New Roman" w:hAnsi="Times New Roman"/>
          <w:sz w:val="24"/>
          <w:szCs w:val="24"/>
          <w:lang w:val="ru-RU"/>
        </w:rPr>
      </w:r>
    </w:p>
    <w:p>
      <w:pPr>
        <w:pStyle w:val="NormalWeb"/>
        <w:spacing w:lineRule="auto" w:line="240" w:before="0" w:after="0"/>
        <w:ind w:left="7200" w:firstLine="720"/>
        <w:contextualSpacing/>
        <w:rPr>
          <w:rFonts w:ascii="Times New Roman" w:hAnsi="Times New Roman"/>
          <w:sz w:val="24"/>
          <w:szCs w:val="24"/>
          <w:lang w:val="ru-RU"/>
        </w:rPr>
      </w:pPr>
      <w:r>
        <w:rPr>
          <w:rFonts w:ascii="Times New Roman" w:hAnsi="Times New Roman"/>
          <w:sz w:val="24"/>
          <w:szCs w:val="24"/>
          <w:lang w:val="ru-RU"/>
        </w:rPr>
      </w:r>
    </w:p>
    <w:p>
      <w:pPr>
        <w:pStyle w:val="NormalWeb"/>
        <w:spacing w:lineRule="auto" w:line="240" w:before="0" w:after="0"/>
        <w:ind w:left="7200" w:firstLine="720"/>
        <w:contextualSpacing/>
        <w:rPr>
          <w:rFonts w:ascii="Times New Roman" w:hAnsi="Times New Roman"/>
          <w:sz w:val="24"/>
          <w:szCs w:val="24"/>
          <w:lang w:val="ru-RU"/>
        </w:rPr>
      </w:pPr>
      <w:r>
        <w:rPr>
          <w:rFonts w:ascii="Times New Roman" w:hAnsi="Times New Roman"/>
          <w:sz w:val="24"/>
          <w:szCs w:val="24"/>
          <w:lang w:val="ru-RU"/>
        </w:rPr>
      </w:r>
    </w:p>
    <w:p>
      <w:pPr>
        <w:pStyle w:val="NormalWeb"/>
        <w:spacing w:lineRule="auto" w:line="240" w:before="0" w:after="0"/>
        <w:ind w:left="7200" w:firstLine="720"/>
        <w:contextualSpacing/>
        <w:rPr>
          <w:rFonts w:ascii="Times New Roman" w:hAnsi="Times New Roman"/>
          <w:sz w:val="24"/>
          <w:szCs w:val="24"/>
          <w:lang w:val="ru-RU"/>
        </w:rPr>
      </w:pPr>
      <w:r>
        <w:rPr>
          <w:rFonts w:ascii="Times New Roman" w:hAnsi="Times New Roman"/>
          <w:sz w:val="24"/>
          <w:szCs w:val="24"/>
          <w:lang w:val="ru-RU"/>
        </w:rPr>
      </w:r>
    </w:p>
    <w:p>
      <w:pPr>
        <w:pStyle w:val="NormalWeb"/>
        <w:spacing w:lineRule="auto" w:line="240" w:before="0" w:after="0"/>
        <w:ind w:left="7200" w:firstLine="720"/>
        <w:contextualSpacing/>
        <w:rPr>
          <w:rFonts w:ascii="Times New Roman" w:hAnsi="Times New Roman"/>
          <w:sz w:val="24"/>
          <w:szCs w:val="24"/>
          <w:lang w:val="ru-RU"/>
        </w:rPr>
      </w:pPr>
      <w:r>
        <w:rPr>
          <w:rFonts w:ascii="Times New Roman" w:hAnsi="Times New Roman"/>
          <w:sz w:val="24"/>
          <w:szCs w:val="24"/>
          <w:lang w:val="ru-RU"/>
        </w:rPr>
      </w:r>
    </w:p>
    <w:p>
      <w:pPr>
        <w:pStyle w:val="NormalWeb"/>
        <w:spacing w:lineRule="auto" w:line="240" w:before="0" w:after="0"/>
        <w:ind w:right="282" w:hanging="0"/>
        <w:contextualSpacing/>
        <w:jc w:val="center"/>
        <w:rPr>
          <w:rFonts w:ascii="Times New Roman" w:hAnsi="Times New Roman"/>
          <w:sz w:val="24"/>
          <w:szCs w:val="24"/>
          <w:lang w:val="ru-RU"/>
        </w:rPr>
      </w:pPr>
      <w:r>
        <w:rPr/>
        <w:drawing>
          <wp:inline distT="0" distB="0" distL="0" distR="0">
            <wp:extent cx="4572000" cy="2743200"/>
            <wp:effectExtent l="0" t="0" r="0" b="0"/>
            <wp:docPr id="8"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Normal"/>
        <w:spacing w:lineRule="auto" w:line="240" w:before="0" w:after="20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20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200"/>
        <w:contextualSpacing/>
        <w:jc w:val="center"/>
        <w:rPr>
          <w:rFonts w:ascii="Times New Roman" w:hAnsi="Times New Roman" w:cs="Times New Roman"/>
          <w:b/>
          <w:b/>
          <w:sz w:val="24"/>
          <w:szCs w:val="24"/>
        </w:rPr>
      </w:pPr>
      <w:r>
        <w:rPr>
          <w:rFonts w:cs="Times New Roman" w:ascii="Times New Roman" w:hAnsi="Times New Roman"/>
          <w:b/>
          <w:sz w:val="24"/>
          <w:szCs w:val="24"/>
        </w:rPr>
        <w:t>Рис. 3. Структура земель городов и поселков Приморского края в 2016 году</w:t>
      </w:r>
    </w:p>
    <w:p>
      <w:pPr>
        <w:pStyle w:val="Normal"/>
        <w:spacing w:lineRule="auto" w:line="240" w:before="0" w:after="20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20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20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200"/>
        <w:contextualSpacing/>
        <w:jc w:val="center"/>
        <w:rPr>
          <w:rFonts w:ascii="Times New Roman" w:hAnsi="Times New Roman" w:cs="Times New Roman"/>
          <w:b/>
          <w:b/>
          <w:sz w:val="24"/>
          <w:szCs w:val="24"/>
        </w:rPr>
      </w:pPr>
      <w:r>
        <w:rPr/>
        <w:drawing>
          <wp:inline distT="0" distB="0" distL="0" distR="0">
            <wp:extent cx="4572000" cy="2743200"/>
            <wp:effectExtent l="0" t="0" r="0" b="0"/>
            <wp:docPr id="9" name="Объект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Normal"/>
        <w:spacing w:lineRule="auto" w:line="240" w:before="0" w:after="200"/>
        <w:contextualSpacing/>
        <w:rPr>
          <w:b/>
          <w:b/>
        </w:rPr>
      </w:pPr>
      <w:r>
        <w:rPr>
          <w:b/>
        </w:rPr>
      </w:r>
    </w:p>
    <w:p>
      <w:pPr>
        <w:pStyle w:val="Normal"/>
        <w:spacing w:lineRule="auto" w:line="240" w:before="0" w:after="200"/>
        <w:ind w:left="697" w:hanging="0"/>
        <w:contextualSpacing/>
        <w:jc w:val="center"/>
        <w:rPr>
          <w:rFonts w:ascii="Times New Roman" w:hAnsi="Times New Roman" w:cs="Times New Roman"/>
          <w:b/>
          <w:b/>
          <w:sz w:val="24"/>
          <w:szCs w:val="24"/>
        </w:rPr>
      </w:pPr>
      <w:r>
        <w:rPr>
          <w:rFonts w:cs="Times New Roman" w:ascii="Times New Roman" w:hAnsi="Times New Roman"/>
          <w:b/>
          <w:sz w:val="24"/>
          <w:szCs w:val="24"/>
        </w:rPr>
        <w:t xml:space="preserve">Рис. 4. Структура земель сельских населенных пунктов Приморского края </w:t>
        <w:br/>
        <w:t>в 2016 году</w:t>
      </w:r>
    </w:p>
    <w:p>
      <w:pPr>
        <w:pStyle w:val="Normal"/>
        <w:spacing w:lineRule="auto" w:line="240" w:before="0" w:after="200"/>
        <w:ind w:left="697" w:hanging="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200"/>
        <w:ind w:left="697" w:hanging="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200"/>
        <w:ind w:left="697" w:hanging="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200"/>
        <w:ind w:left="697" w:hanging="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200"/>
        <w:ind w:left="697" w:hanging="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200"/>
        <w:ind w:left="697" w:hanging="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200"/>
        <w:ind w:left="697" w:hanging="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200"/>
        <w:ind w:left="697" w:hanging="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200"/>
        <w:ind w:left="697" w:hanging="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200"/>
        <w:ind w:left="697" w:hanging="0"/>
        <w:contextualSpacing/>
        <w:jc w:val="center"/>
        <w:rPr>
          <w:rFonts w:ascii="Times New Roman" w:hAnsi="Times New Roman" w:cs="Times New Roman"/>
          <w:b/>
          <w:b/>
          <w:sz w:val="24"/>
          <w:szCs w:val="24"/>
        </w:rPr>
      </w:pPr>
      <w:r>
        <w:rPr>
          <w:rFonts w:cs="Times New Roman" w:ascii="Times New Roman" w:hAnsi="Times New Roman"/>
          <w:b/>
          <w:sz w:val="24"/>
          <w:szCs w:val="24"/>
        </w:rPr>
      </w:r>
    </w:p>
    <w:p>
      <w:pPr>
        <w:pStyle w:val="NormalWeb"/>
        <w:spacing w:lineRule="auto" w:line="240" w:before="0" w:after="0"/>
        <w:jc w:val="center"/>
        <w:rPr>
          <w:rFonts w:ascii="Times New Roman" w:hAnsi="Times New Roman" w:cs="Times New Roman"/>
          <w:b/>
          <w:b/>
          <w:sz w:val="28"/>
          <w:szCs w:val="28"/>
          <w:lang w:val="ru-RU"/>
        </w:rPr>
      </w:pPr>
      <w:bookmarkStart w:id="96" w:name="_Toc34212837"/>
      <w:bookmarkStart w:id="97" w:name="_Toc65489219"/>
      <w:bookmarkStart w:id="98" w:name="_Toc96823388"/>
      <w:bookmarkStart w:id="99" w:name="_Toc97106162"/>
      <w:bookmarkStart w:id="100" w:name="_Toc130628061"/>
      <w:bookmarkStart w:id="101" w:name="_Toc256850162"/>
      <w:bookmarkStart w:id="102" w:name="_Toc34558207"/>
      <w:bookmarkStart w:id="103" w:name="_Toc34559007"/>
      <w:bookmarkStart w:id="104" w:name="_Toc34559184"/>
      <w:bookmarkStart w:id="105" w:name="_Toc34560036"/>
      <w:bookmarkStart w:id="106" w:name="_Toc34560084"/>
      <w:bookmarkStart w:id="107" w:name="_Toc34560174"/>
      <w:r>
        <w:rPr>
          <w:rFonts w:cs="Times New Roman" w:ascii="Times New Roman" w:hAnsi="Times New Roman"/>
          <w:b/>
          <w:sz w:val="28"/>
          <w:szCs w:val="28"/>
          <w:lang w:val="ru-RU"/>
        </w:rPr>
        <w:t>1.1.3. Земли промышленности, энергетики, транспорта, связи,</w:t>
      </w:r>
      <w:bookmarkEnd w:id="102"/>
      <w:bookmarkEnd w:id="103"/>
      <w:bookmarkEnd w:id="104"/>
      <w:bookmarkEnd w:id="105"/>
      <w:bookmarkEnd w:id="106"/>
      <w:bookmarkEnd w:id="107"/>
      <w:r>
        <w:rPr>
          <w:rFonts w:cs="Times New Roman" w:ascii="Times New Roman" w:hAnsi="Times New Roman"/>
          <w:b/>
          <w:sz w:val="28"/>
          <w:szCs w:val="28"/>
          <w:lang w:val="ru-RU"/>
        </w:rPr>
        <w:t xml:space="preserve"> </w:t>
      </w:r>
      <w:bookmarkStart w:id="108" w:name="_Toc34558208"/>
      <w:bookmarkStart w:id="109" w:name="_Toc34559008"/>
      <w:bookmarkStart w:id="110" w:name="_Toc34559185"/>
      <w:bookmarkStart w:id="111" w:name="_Toc34560037"/>
      <w:bookmarkStart w:id="112" w:name="_Toc34560085"/>
      <w:bookmarkStart w:id="113" w:name="_Toc34560175"/>
      <w:r>
        <w:rPr>
          <w:rFonts w:cs="Times New Roman" w:ascii="Times New Roman" w:hAnsi="Times New Roman"/>
          <w:b/>
          <w:sz w:val="28"/>
          <w:szCs w:val="28"/>
          <w:lang w:val="ru-RU"/>
        </w:rPr>
        <w:br/>
        <w:t xml:space="preserve">радиовещания, телевидения, информатики, земли для обеспечения </w:t>
        <w:br/>
        <w:t xml:space="preserve">космической деятельности, земли обороны, безопасности и земли </w:t>
        <w:br/>
        <w:t>иного специального назначения</w:t>
      </w:r>
      <w:bookmarkEnd w:id="96"/>
      <w:bookmarkEnd w:id="97"/>
      <w:bookmarkEnd w:id="98"/>
      <w:bookmarkEnd w:id="99"/>
      <w:bookmarkEnd w:id="100"/>
      <w:bookmarkEnd w:id="101"/>
      <w:bookmarkEnd w:id="108"/>
      <w:bookmarkEnd w:id="109"/>
      <w:bookmarkEnd w:id="110"/>
      <w:bookmarkEnd w:id="111"/>
      <w:bookmarkEnd w:id="112"/>
      <w:bookmarkEnd w:id="113"/>
    </w:p>
    <w:p>
      <w:pPr>
        <w:pStyle w:val="NormalWeb"/>
        <w:spacing w:lineRule="auto" w:line="240" w:before="0" w:after="0"/>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before="0" w:after="200"/>
        <w:ind w:firstLine="709"/>
        <w:contextualSpacing/>
        <w:jc w:val="both"/>
        <w:rPr>
          <w:rFonts w:ascii="Times New Roman" w:hAnsi="Times New Roman"/>
          <w:sz w:val="28"/>
          <w:szCs w:val="28"/>
          <w:lang w:val="ru-RU"/>
        </w:rPr>
      </w:pPr>
      <w:r>
        <w:drawing>
          <wp:anchor behindDoc="0" distT="0" distB="0" distL="114300" distR="114300" simplePos="0" locked="0" layoutInCell="0" allowOverlap="1" relativeHeight="8">
            <wp:simplePos x="0" y="0"/>
            <wp:positionH relativeFrom="column">
              <wp:posOffset>-52705</wp:posOffset>
            </wp:positionH>
            <wp:positionV relativeFrom="paragraph">
              <wp:posOffset>113665</wp:posOffset>
            </wp:positionV>
            <wp:extent cx="2771775" cy="1906905"/>
            <wp:effectExtent l="0" t="0" r="0" b="0"/>
            <wp:wrapTight wrapText="bothSides">
              <wp:wrapPolygon edited="0">
                <wp:start x="-198" y="0"/>
                <wp:lineTo x="-198" y="21214"/>
                <wp:lineTo x="21600" y="21214"/>
                <wp:lineTo x="21600" y="0"/>
                <wp:lineTo x="-198" y="0"/>
              </wp:wrapPolygon>
            </wp:wrapTight>
            <wp:docPr id="10" name="Изображение2" descr="промыш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descr="промышл 2"/>
                    <pic:cNvPicPr>
                      <a:picLocks noChangeAspect="1" noChangeArrowheads="1"/>
                    </pic:cNvPicPr>
                  </pic:nvPicPr>
                  <pic:blipFill>
                    <a:blip r:embed="rId61"/>
                    <a:stretch>
                      <a:fillRect/>
                    </a:stretch>
                  </pic:blipFill>
                  <pic:spPr bwMode="auto">
                    <a:xfrm>
                      <a:off x="0" y="0"/>
                      <a:ext cx="2771775" cy="1906905"/>
                    </a:xfrm>
                    <a:prstGeom prst="rect">
                      <a:avLst/>
                    </a:prstGeom>
                  </pic:spPr>
                </pic:pic>
              </a:graphicData>
            </a:graphic>
          </wp:anchor>
        </w:drawing>
      </w:r>
      <w:r>
        <w:rPr>
          <w:rFonts w:ascii="Times New Roman" w:hAnsi="Times New Roman"/>
          <w:sz w:val="28"/>
          <w:szCs w:val="28"/>
          <w:lang w:val="ru-RU"/>
        </w:rPr>
        <w:t xml:space="preserve"> </w:t>
      </w:r>
      <w:r>
        <w:rPr>
          <w:rFonts w:ascii="Times New Roman" w:hAnsi="Times New Roman"/>
          <w:sz w:val="28"/>
          <w:szCs w:val="28"/>
          <w:lang w:val="ru-RU"/>
        </w:rPr>
        <w:t xml:space="preserve">В данную категорию включены земли, которые расположены за чертой населенных пунктов и используются или предназначены для обеспечения деятельности организаций 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Общая площадь земель категории промышленности,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1 января 2017 года увеличились на 0,3 тыс. га и составила 384,3 тыс. га. Увеличение площади земель данной категории произошло за счет перевода земельных участков земель сельскохозяйственного назначения и земель запаса в земли промышленности.</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Земли промышленности и иного специального назначения в зависимости от характера специальных задач подразделяются на семь групп.</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К землям промышленности отнесены земельные участки, предоставленные для размещения административных и производственных зданий, строений и сооружений и обслуживающих их объектов, а также земельные участки, предоставленные предприятиям горнодобывающей и нефтегазовой промышленности, для разработки полезных ископаемых. Общая площадь земель промышленности составляет 23,8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К землям энергетики отнесены земельные участки, предоставленные для размещения гидроэлектростанций и других электростанций, воздушных линий электропередач, подстанций, распределительных пунктов и других сооружений и объектов энергетики. Площадь земель энергетики в отчетном году составила 8,4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К землям транспорта относятся земельные участки, предоставленные предприятиям, учреждениям и организациям железнодорожного, автомобильного, воздушного, трубопроводного, водного транспорта для осуществления специальных задач по содержанию, строительству, реконструкции, ремонту и развитию объектов транспорта  31,5 тыс. га.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Земли связи, радиовещания, информатики, по состоянию на 01.01.2017 занимают 1,0 тыс. га. Для целей обеспечения обороны и безопасности отведено 313,5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Площадь земель иного специального назначения, отнесенных к данной категории, составила 5,9 тыс. га, эти земли представлены участками, выделенными мелким организациям, автозаправочным станциям, объектам энергетики и т.п. Сюда относятся участки под объектами соцкультбыта, расположенными за чертой населенных пунктов, такими как школы, больницы, ветеринарные пункты, свалки, кладбища, монастыри и пр.</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Таким образом, к землям специального назначения относятся предоставленные для различных целей земельные участки, не учтенные в других категориях.</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Структура земель промышленности и иного специального назначения в зависимости от характера специальных задач показана на диаграмме (рис. 5).</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r>
    </w:p>
    <w:p>
      <w:pPr>
        <w:pStyle w:val="NormalWeb"/>
        <w:spacing w:lineRule="auto" w:line="240" w:before="0" w:after="200"/>
        <w:contextualSpacing/>
        <w:jc w:val="both"/>
        <w:rPr>
          <w:rFonts w:ascii="Times New Roman" w:hAnsi="Times New Roman"/>
          <w:sz w:val="28"/>
          <w:szCs w:val="28"/>
          <w:lang w:val="ru-RU"/>
        </w:rPr>
      </w:pPr>
      <w:r>
        <w:rPr/>
        <w:drawing>
          <wp:inline distT="0" distB="0" distL="0" distR="0">
            <wp:extent cx="4572000" cy="2743200"/>
            <wp:effectExtent l="0" t="0" r="0" b="0"/>
            <wp:docPr id="11" name="Объект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NormalWeb"/>
        <w:spacing w:lineRule="auto" w:line="240"/>
        <w:jc w:val="center"/>
        <w:rPr>
          <w:rFonts w:ascii="Times New Roman" w:hAnsi="Times New Roman" w:cs="Times New Roman"/>
          <w:b/>
          <w:b/>
          <w:lang w:val="ru-RU"/>
        </w:rPr>
      </w:pPr>
      <w:r>
        <w:rPr>
          <w:rFonts w:cs="Times New Roman" w:ascii="Times New Roman" w:hAnsi="Times New Roman"/>
          <w:b/>
          <w:lang w:val="ru-RU"/>
        </w:rPr>
        <w:t>Рис. 5. Структура земель промышленности, транспорта, связи, радиовещания, телевидения, информатики, космического обеспечения, энергетики, обороны и иного назначения Приморского края за 2016 год</w:t>
      </w:r>
    </w:p>
    <w:p>
      <w:pPr>
        <w:pStyle w:val="NormalWeb"/>
        <w:spacing w:lineRule="auto" w:line="240"/>
        <w:ind w:firstLine="709"/>
        <w:jc w:val="both"/>
        <w:rPr>
          <w:rFonts w:ascii="Times New Roman" w:hAnsi="Times New Roman"/>
          <w:sz w:val="28"/>
          <w:szCs w:val="28"/>
          <w:lang w:val="ru-RU"/>
        </w:rPr>
      </w:pPr>
      <w:r>
        <w:rPr>
          <w:rFonts w:ascii="Times New Roman" w:hAnsi="Times New Roman"/>
          <w:sz w:val="28"/>
          <w:szCs w:val="28"/>
          <w:lang w:val="ru-RU"/>
        </w:rPr>
        <w:t xml:space="preserve">В структуре угодий, отнесенных к категории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назначения (таблица 3), преобладают лесные земли 171,2 тыс. га (44,6 %). Сельскохозяйственные угодья занимают площадь в   33 тыс. га (8,6 %), из которых около 27,8 тыс. га приходится на земли обороны. Сельскохозяйственные угодья, расположенные в полосе отвода железных дорог, занимают 2,7 тыс. га. Эти земли могут предоставляться в виде служебных наделов для огородничества и выпаса скота. </w:t>
      </w:r>
    </w:p>
    <w:p>
      <w:pPr>
        <w:pStyle w:val="Normal"/>
        <w:spacing w:lineRule="auto" w:line="24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jc w:val="center"/>
        <w:rPr>
          <w:rFonts w:ascii="Times New Roman" w:hAnsi="Times New Roman" w:cs="Times New Roman"/>
          <w:b/>
          <w:b/>
          <w:sz w:val="24"/>
          <w:szCs w:val="24"/>
        </w:rPr>
      </w:pPr>
      <w:r>
        <w:rPr>
          <w:rFonts w:cs="Times New Roman" w:ascii="Times New Roman" w:hAnsi="Times New Roman"/>
          <w:b/>
          <w:sz w:val="24"/>
          <w:szCs w:val="24"/>
        </w:rPr>
        <w:t xml:space="preserve">Распределение земель промышленности, энергетики, транспорта, связи и иного </w:t>
        <w:br/>
        <w:t>специального назначения Приморского края по угодьям за 2016 год</w:t>
      </w:r>
    </w:p>
    <w:p>
      <w:pPr>
        <w:pStyle w:val="Normal"/>
        <w:spacing w:lineRule="auto" w:line="240" w:before="0" w:after="0"/>
        <w:ind w:right="424" w:hanging="0"/>
        <w:jc w:val="right"/>
        <w:rPr>
          <w:rFonts w:ascii="Times New Roman" w:hAnsi="Times New Roman" w:cs="Times New Roman"/>
          <w:b/>
          <w:b/>
          <w:sz w:val="24"/>
          <w:szCs w:val="24"/>
          <w:lang w:val="en-US"/>
        </w:rPr>
      </w:pPr>
      <w:r>
        <w:rPr>
          <w:rFonts w:cs="Times New Roman" w:ascii="Times New Roman" w:hAnsi="Times New Roman"/>
          <w:sz w:val="24"/>
          <w:szCs w:val="24"/>
        </w:rPr>
        <w:t xml:space="preserve">Таблица </w:t>
      </w:r>
      <w:r>
        <w:rPr>
          <w:rFonts w:cs="Times New Roman" w:ascii="Times New Roman" w:hAnsi="Times New Roman"/>
          <w:sz w:val="24"/>
          <w:szCs w:val="24"/>
          <w:lang w:val="en-US"/>
        </w:rPr>
        <w:t>3</w:t>
      </w:r>
    </w:p>
    <w:tbl>
      <w:tblPr>
        <w:tblW w:w="9138" w:type="dxa"/>
        <w:jc w:val="center"/>
        <w:tblInd w:w="0" w:type="dxa"/>
        <w:tblLayout w:type="fixed"/>
        <w:tblCellMar>
          <w:top w:w="0" w:type="dxa"/>
          <w:left w:w="108" w:type="dxa"/>
          <w:bottom w:w="0" w:type="dxa"/>
          <w:right w:w="108" w:type="dxa"/>
        </w:tblCellMar>
        <w:tblLook w:val="00a0" w:noHBand="0" w:noVBand="0" w:firstColumn="1" w:lastRow="0" w:lastColumn="0" w:firstRow="1"/>
      </w:tblPr>
      <w:tblGrid>
        <w:gridCol w:w="685"/>
        <w:gridCol w:w="5300"/>
        <w:gridCol w:w="1347"/>
        <w:gridCol w:w="1805"/>
      </w:tblGrid>
      <w:tr>
        <w:trPr>
          <w:trHeight w:val="799" w:hRule="atLeas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4"/>
                <w:szCs w:val="24"/>
                <w:lang w:val="en-US" w:eastAsia="en-US"/>
              </w:rPr>
            </w:pPr>
            <w:r>
              <w:rPr>
                <w:rFonts w:ascii="Times New Roman" w:hAnsi="Times New Roman"/>
                <w:sz w:val="24"/>
                <w:szCs w:val="24"/>
              </w:rPr>
              <w:t xml:space="preserve">№ </w:t>
            </w:r>
            <w:r>
              <w:rPr>
                <w:rFonts w:ascii="Times New Roman" w:hAnsi="Times New Roman"/>
                <w:sz w:val="24"/>
                <w:szCs w:val="24"/>
              </w:rPr>
              <w:t>п.п.</w:t>
            </w:r>
          </w:p>
        </w:tc>
        <w:tc>
          <w:tcPr>
            <w:tcW w:w="53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ind w:hanging="108"/>
              <w:jc w:val="center"/>
              <w:rPr>
                <w:rFonts w:ascii="Times New Roman" w:hAnsi="Times New Roman"/>
                <w:sz w:val="24"/>
                <w:szCs w:val="24"/>
                <w:lang w:val="en-US" w:eastAsia="en-US"/>
              </w:rPr>
            </w:pPr>
            <w:r>
              <w:rPr>
                <w:rFonts w:ascii="Times New Roman" w:hAnsi="Times New Roman"/>
                <w:sz w:val="24"/>
                <w:szCs w:val="24"/>
              </w:rPr>
              <w:t>Наименование угодий</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4"/>
                <w:szCs w:val="24"/>
                <w:lang w:val="en-US" w:eastAsia="en-US"/>
              </w:rPr>
            </w:pPr>
            <w:r>
              <w:rPr>
                <w:rFonts w:ascii="Times New Roman" w:hAnsi="Times New Roman"/>
                <w:sz w:val="24"/>
                <w:szCs w:val="24"/>
              </w:rPr>
              <w:t>Площадь (тыс. га)</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ind w:firstLine="72"/>
              <w:jc w:val="center"/>
              <w:rPr>
                <w:rFonts w:ascii="Times New Roman" w:hAnsi="Times New Roman"/>
                <w:sz w:val="24"/>
                <w:szCs w:val="24"/>
                <w:lang w:val="en-US" w:eastAsia="en-US"/>
              </w:rPr>
            </w:pPr>
            <w:r>
              <w:rPr>
                <w:rFonts w:ascii="Times New Roman" w:hAnsi="Times New Roman"/>
                <w:sz w:val="24"/>
                <w:szCs w:val="24"/>
              </w:rPr>
              <w:t>В процентах от категории</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1</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rPr>
              <w:t>Сельскохозяйственные угодья</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33</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8,6%</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2</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rPr>
              <w:t>Лесные земли</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171,2</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44,6%</w:t>
            </w:r>
          </w:p>
        </w:tc>
      </w:tr>
      <w:tr>
        <w:trPr>
          <w:trHeight w:val="519" w:hRule="atLeas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lang w:val="en-US" w:eastAsia="en-US"/>
              </w:rPr>
            </w:pPr>
            <w:r>
              <w:rPr>
                <w:rFonts w:ascii="Times New Roman" w:hAnsi="Times New Roman"/>
                <w:sz w:val="24"/>
                <w:szCs w:val="24"/>
              </w:rPr>
              <w:t>3</w:t>
            </w:r>
          </w:p>
        </w:tc>
        <w:tc>
          <w:tcPr>
            <w:tcW w:w="53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ind w:firstLine="72"/>
              <w:contextualSpacing/>
              <w:rPr>
                <w:rFonts w:ascii="Times New Roman" w:hAnsi="Times New Roman"/>
                <w:sz w:val="24"/>
                <w:szCs w:val="24"/>
                <w:lang w:eastAsia="en-US"/>
              </w:rPr>
            </w:pPr>
            <w:r>
              <w:rPr>
                <w:rFonts w:ascii="Times New Roman" w:hAnsi="Times New Roman"/>
                <w:sz w:val="24"/>
                <w:szCs w:val="24"/>
              </w:rPr>
              <w:t>Земли под древесно-кустарниковой</w:t>
            </w:r>
          </w:p>
          <w:p>
            <w:pPr>
              <w:pStyle w:val="Normal"/>
              <w:widowControl w:val="false"/>
              <w:spacing w:lineRule="auto" w:line="240" w:before="0" w:after="200"/>
              <w:ind w:firstLine="72"/>
              <w:contextualSpacing/>
              <w:rPr>
                <w:rFonts w:ascii="Times New Roman" w:hAnsi="Times New Roman"/>
                <w:sz w:val="24"/>
                <w:szCs w:val="24"/>
                <w:lang w:eastAsia="en-US"/>
              </w:rPr>
            </w:pPr>
            <w:r>
              <w:rPr>
                <w:rFonts w:ascii="Times New Roman" w:hAnsi="Times New Roman"/>
                <w:sz w:val="24"/>
                <w:szCs w:val="24"/>
              </w:rPr>
              <w:t>растительностью</w:t>
            </w:r>
          </w:p>
        </w:tc>
        <w:tc>
          <w:tcPr>
            <w:tcW w:w="134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sz w:val="24"/>
                <w:szCs w:val="24"/>
                <w:lang w:eastAsia="en-US"/>
              </w:rPr>
            </w:pPr>
            <w:r>
              <w:rPr>
                <w:rFonts w:ascii="Times New Roman" w:hAnsi="Times New Roman"/>
                <w:sz w:val="24"/>
                <w:szCs w:val="24"/>
                <w:lang w:eastAsia="en-US"/>
              </w:rPr>
              <w:t>25,6</w:t>
            </w:r>
          </w:p>
        </w:tc>
        <w:tc>
          <w:tcPr>
            <w:tcW w:w="18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ind w:firstLine="72"/>
              <w:contextualSpacing/>
              <w:jc w:val="center"/>
              <w:rPr>
                <w:rFonts w:ascii="Times New Roman" w:hAnsi="Times New Roman"/>
                <w:sz w:val="24"/>
                <w:szCs w:val="24"/>
                <w:lang w:eastAsia="en-US"/>
              </w:rPr>
            </w:pPr>
            <w:r>
              <w:rPr>
                <w:rFonts w:ascii="Times New Roman" w:hAnsi="Times New Roman"/>
                <w:sz w:val="24"/>
                <w:szCs w:val="24"/>
                <w:lang w:eastAsia="en-US"/>
              </w:rPr>
              <w:t>6,7%</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4</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rPr>
              <w:t>Земли под водными объектами</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4,3</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1,1%</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5</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ind w:firstLine="72"/>
              <w:rPr>
                <w:rFonts w:ascii="Times New Roman" w:hAnsi="Times New Roman"/>
                <w:sz w:val="24"/>
                <w:szCs w:val="24"/>
                <w:lang w:val="en-US" w:eastAsia="en-US"/>
              </w:rPr>
            </w:pPr>
            <w:r>
              <w:rPr>
                <w:rFonts w:ascii="Times New Roman" w:hAnsi="Times New Roman"/>
                <w:sz w:val="24"/>
                <w:szCs w:val="24"/>
              </w:rPr>
              <w:t>Земли под застройкой</w:t>
            </w:r>
          </w:p>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lang w:val="en-US" w:eastAsia="en-US"/>
              </w:rPr>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21,7</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5,6%</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6</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ind w:firstLine="72"/>
              <w:rPr>
                <w:rFonts w:ascii="Times New Roman" w:hAnsi="Times New Roman"/>
                <w:sz w:val="24"/>
                <w:szCs w:val="24"/>
                <w:lang w:val="en-US" w:eastAsia="en-US"/>
              </w:rPr>
            </w:pPr>
            <w:r>
              <w:rPr>
                <w:rFonts w:ascii="Times New Roman" w:hAnsi="Times New Roman"/>
                <w:sz w:val="24"/>
                <w:szCs w:val="24"/>
              </w:rPr>
              <w:t>Земли под дорогами</w:t>
            </w:r>
          </w:p>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lang w:val="en-US" w:eastAsia="en-US"/>
              </w:rPr>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27,2</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7,1%</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7</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rPr>
              <w:t>Болота</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24,4</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6,3%</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8</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rPr>
              <w:t>Нарушенные земли</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12</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3,1%</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9</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rPr>
              <w:t>Прочие земли</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64,9</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16,9%</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sz w:val="24"/>
                <w:szCs w:val="24"/>
                <w:lang w:val="en-US" w:eastAsia="en-US"/>
              </w:rPr>
            </w:pPr>
            <w:r>
              <w:rPr>
                <w:rFonts w:ascii="Times New Roman" w:hAnsi="Times New Roman"/>
                <w:sz w:val="24"/>
                <w:szCs w:val="24"/>
                <w:lang w:val="en-US" w:eastAsia="en-US"/>
              </w:rPr>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b/>
                <w:b/>
                <w:bCs/>
                <w:iCs/>
                <w:sz w:val="24"/>
                <w:szCs w:val="24"/>
                <w:lang w:val="en-US" w:eastAsia="en-US"/>
              </w:rPr>
            </w:pPr>
            <w:r>
              <w:rPr>
                <w:rFonts w:ascii="Times New Roman" w:hAnsi="Times New Roman"/>
                <w:b/>
                <w:bCs/>
                <w:iCs/>
                <w:sz w:val="24"/>
                <w:szCs w:val="24"/>
              </w:rPr>
              <w:t>Итого</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b/>
                <w:b/>
                <w:bCs/>
                <w:iCs/>
                <w:sz w:val="24"/>
                <w:szCs w:val="24"/>
                <w:lang w:val="en-US" w:eastAsia="en-US"/>
              </w:rPr>
            </w:pPr>
            <w:r>
              <w:rPr>
                <w:rFonts w:ascii="Times New Roman" w:hAnsi="Times New Roman"/>
                <w:b/>
                <w:bCs/>
                <w:iCs/>
                <w:sz w:val="24"/>
                <w:szCs w:val="24"/>
              </w:rPr>
              <w:t>384,3</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b/>
                <w:b/>
                <w:bCs/>
                <w:iCs/>
                <w:sz w:val="24"/>
                <w:szCs w:val="24"/>
                <w:lang w:val="en-US" w:eastAsia="en-US"/>
              </w:rPr>
            </w:pPr>
            <w:r>
              <w:rPr>
                <w:rFonts w:ascii="Times New Roman" w:hAnsi="Times New Roman"/>
                <w:b/>
                <w:bCs/>
                <w:iCs/>
                <w:sz w:val="24"/>
                <w:szCs w:val="24"/>
              </w:rPr>
              <w:t>100,0%</w:t>
            </w:r>
          </w:p>
        </w:tc>
      </w:tr>
    </w:tbl>
    <w:p>
      <w:pPr>
        <w:pStyle w:val="Normal"/>
        <w:spacing w:lineRule="auto" w:line="240" w:before="0" w:after="0"/>
        <w:contextualSpacing/>
        <w:jc w:val="both"/>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Web"/>
        <w:numPr>
          <w:ilvl w:val="2"/>
          <w:numId w:val="1"/>
        </w:numPr>
        <w:spacing w:lineRule="auto" w:line="240" w:before="0" w:after="0"/>
        <w:jc w:val="center"/>
        <w:rPr>
          <w:rFonts w:ascii="Times New Roman" w:hAnsi="Times New Roman" w:cs="Times New Roman"/>
          <w:b/>
          <w:b/>
          <w:sz w:val="28"/>
          <w:szCs w:val="28"/>
          <w:lang w:val="ru-RU"/>
        </w:rPr>
      </w:pPr>
      <w:r>
        <w:rPr>
          <w:rFonts w:cs="Times New Roman" w:ascii="Times New Roman" w:hAnsi="Times New Roman"/>
          <w:b/>
          <w:sz w:val="28"/>
          <w:szCs w:val="28"/>
          <w:lang w:val="ru-RU"/>
        </w:rPr>
        <w:t>Земли особо охраняемых территорий и объектов</w:t>
      </w:r>
    </w:p>
    <w:p>
      <w:pPr>
        <w:pStyle w:val="NormalWeb"/>
        <w:spacing w:lineRule="auto" w:line="240" w:before="0" w:after="0"/>
        <w:ind w:left="1110" w:hanging="0"/>
        <w:jc w:val="both"/>
        <w:rPr>
          <w:rFonts w:ascii="Times New Roman" w:hAnsi="Times New Roman" w:cs="Times New Roman"/>
          <w:sz w:val="28"/>
          <w:szCs w:val="28"/>
          <w:lang w:val="ru-RU"/>
        </w:rPr>
      </w:pPr>
      <w:r>
        <w:rPr>
          <w:rFonts w:cs="Times New Roman" w:ascii="Times New Roman" w:hAnsi="Times New Roman"/>
          <w:sz w:val="28"/>
          <w:szCs w:val="28"/>
          <w:lang w:val="ru-RU"/>
        </w:rPr>
        <mc:AlternateContent>
          <mc:Choice Requires="wps">
            <w:drawing>
              <wp:anchor behindDoc="0" distT="0" distB="0" distL="90170" distR="109220" simplePos="0" locked="0" layoutInCell="0" allowOverlap="1" relativeHeight="9" wp14:anchorId="5B0B40F5">
                <wp:simplePos x="0" y="0"/>
                <wp:positionH relativeFrom="column">
                  <wp:posOffset>149860</wp:posOffset>
                </wp:positionH>
                <wp:positionV relativeFrom="paragraph">
                  <wp:posOffset>189230</wp:posOffset>
                </wp:positionV>
                <wp:extent cx="2423160" cy="1714500"/>
                <wp:effectExtent l="24130" t="24130" r="77470" b="77470"/>
                <wp:wrapSquare wrapText="bothSides"/>
                <wp:docPr id="12" name="Рисунок 11"/>
                <a:graphic xmlns:a="http://schemas.openxmlformats.org/drawingml/2006/main">
                  <a:graphicData uri="http://schemas.openxmlformats.org/drawingml/2006/picture">
                    <pic:pic xmlns:pic="http://schemas.openxmlformats.org/drawingml/2006/picture">
                      <pic:nvPicPr>
                        <pic:cNvPr id="2" name="Рисунок 11" descr=""/>
                        <pic:cNvPicPr/>
                      </pic:nvPicPr>
                      <pic:blipFill>
                        <a:blip r:embed="rId63"/>
                        <a:stretch/>
                      </pic:blipFill>
                      <pic:spPr>
                        <a:xfrm>
                          <a:off x="0" y="0"/>
                          <a:ext cx="2423160" cy="1714680"/>
                        </a:xfrm>
                        <a:prstGeom prst="rect">
                          <a:avLst/>
                        </a:prstGeom>
                        <a:ln w="0">
                          <a:noFill/>
                        </a:ln>
                        <a:effectLst>
                          <a:outerShdw algn="tl" blurRad="50760" dir="2700000" dist="37674" rotWithShape="0">
                            <a:srgbClr val="000000">
                              <a:alpha val="40000"/>
                            </a:srgbClr>
                          </a:outerShdw>
                        </a:effectLst>
                      </pic:spPr>
                    </pic:pic>
                  </a:graphicData>
                </a:graphic>
              </wp:anchor>
            </w:drawing>
          </mc:Choice>
          <mc:Fallback>
            <w:pict>
              <v:shape id="shape_0" ID="Рисунок 11" stroked="f" o:allowincell="f" style="position:absolute;margin-left:11.8pt;margin-top:14.9pt;width:190.75pt;height:134.95pt;mso-wrap-style:none;v-text-anchor:middle" wp14:anchorId="5B0B40F5" type="_x0000_t75">
                <v:imagedata r:id="rId63" o:detectmouseclick="t"/>
                <v:stroke color="#3465a4" joinstyle="round" endcap="flat"/>
                <w10:wrap type="square"/>
              </v:shape>
            </w:pict>
          </mc:Fallback>
        </mc:AlternateContent>
      </w:r>
      <w:bookmarkStart w:id="114" w:name="_Toc34212839"/>
      <w:bookmarkStart w:id="115" w:name="_Toc34558210"/>
      <w:bookmarkStart w:id="116" w:name="_Toc34559010"/>
      <w:bookmarkStart w:id="117" w:name="_Toc34559187"/>
      <w:bookmarkStart w:id="118" w:name="_Toc34560039"/>
      <w:bookmarkStart w:id="119" w:name="_Toc34560087"/>
      <w:bookmarkStart w:id="120" w:name="_Toc34560177"/>
      <w:bookmarkStart w:id="121" w:name="_Toc65489221"/>
      <w:bookmarkStart w:id="122" w:name="_Toc96823390"/>
      <w:bookmarkStart w:id="123" w:name="_Toc97106164"/>
      <w:bookmarkStart w:id="124" w:name="_Toc130628063"/>
      <w:bookmarkStart w:id="125" w:name="_Toc34212839"/>
      <w:bookmarkStart w:id="126" w:name="_Toc34558210"/>
      <w:bookmarkStart w:id="127" w:name="_Toc34559010"/>
      <w:bookmarkStart w:id="128" w:name="_Toc34559187"/>
      <w:bookmarkStart w:id="129" w:name="_Toc34560039"/>
      <w:bookmarkStart w:id="130" w:name="_Toc34560087"/>
      <w:bookmarkStart w:id="131" w:name="_Toc34560177"/>
      <w:bookmarkStart w:id="132" w:name="_Toc65489221"/>
      <w:bookmarkStart w:id="133" w:name="_Toc96823390"/>
      <w:bookmarkStart w:id="134" w:name="_Toc97106164"/>
      <w:bookmarkStart w:id="135" w:name="_Toc130628063"/>
    </w:p>
    <w:p>
      <w:pPr>
        <w:pStyle w:val="NormalWeb"/>
        <w:spacing w:lineRule="auto" w:line="240" w:before="0" w:after="0"/>
        <w:jc w:val="both"/>
        <w:rPr>
          <w:rFonts w:ascii="Times New Roman" w:hAnsi="Times New Roman"/>
          <w:sz w:val="28"/>
          <w:szCs w:val="28"/>
          <w:lang w:val="ru-RU"/>
        </w:rPr>
      </w:pPr>
      <w:r>
        <w:rPr>
          <w:rFonts w:cs="Times New Roman" w:ascii="Times New Roman" w:hAnsi="Times New Roman"/>
          <w:sz w:val="28"/>
          <w:szCs w:val="28"/>
          <w:lang w:val="ru-RU"/>
        </w:rPr>
        <w:t xml:space="preserve">          </w:t>
      </w:r>
      <w:r>
        <w:rPr>
          <w:rFonts w:ascii="Times New Roman" w:hAnsi="Times New Roman"/>
          <w:sz w:val="28"/>
          <w:szCs w:val="28"/>
          <w:lang w:val="ru-RU"/>
        </w:rPr>
        <w:t xml:space="preserve">В соответствии с действующим законодательством к особо охраняемым территориям относятся земли, имеющие особое природоохранное, научное, историко-культурное, эстетическое, рекреационное, оздоровительное и иное ценное значение.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В состав земель этой категории входят особо охраняемые природные территории, занимаемые государственными природными заповедниками, национальными и природными парками, государственными природными заказниками, памятниками природы, ботаническими садами, лечебно- оздоровительными местностями и курортами. Кроме природных территорий в данную категорию земель входят земельные участки, занятые объектами физической культуры и спорта, отдыха и туризма, памятниками истории и культуры. Для этих земель установлен режим особой охраны. В целях обеспечения их сохранности они изымаются из хозяйственного использования полностью или частично. Правовой режим земельных участков, отнесенных к данной категории, зависит от правового режима территорий, на которых они находятся, или объектов, которые на них располагаются.</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Общая площадь земель данной категории на 1 января 2017 года составила 847,3 тыс. га, из них площадь земель особо охраняемых природных территорий – 787,6 тыс. га (92,95%), площадь земель рекреационного назначения – 59,5 тыс. га (7,02%), земли историко-культурного назначения – 0,2 тыс. га (0,02%).</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Структура земель особо охраняемых территорий и объектов наглядно представлена на диаграмме (рис. 6).</w:t>
      </w:r>
    </w:p>
    <w:p>
      <w:pPr>
        <w:pStyle w:val="NormalWeb"/>
        <w:spacing w:lineRule="auto" w:line="240" w:before="0" w:after="0"/>
        <w:ind w:left="360" w:hanging="0"/>
        <w:jc w:val="center"/>
        <w:rPr>
          <w:rFonts w:ascii="Times New Roman" w:hAnsi="Times New Roman" w:cs="Times New Roman"/>
          <w:sz w:val="28"/>
          <w:szCs w:val="28"/>
          <w:lang w:val="ru-RU"/>
        </w:rPr>
      </w:pPr>
      <w:r>
        <w:rPr/>
        <w:drawing>
          <wp:inline distT="0" distB="0" distL="0" distR="0">
            <wp:extent cx="4610100" cy="2019300"/>
            <wp:effectExtent l="0" t="0" r="0" b="0"/>
            <wp:docPr id="13" name="Объект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NormalWeb"/>
        <w:spacing w:lineRule="auto" w:line="240"/>
        <w:jc w:val="center"/>
        <w:rPr>
          <w:rFonts w:ascii="Times New Roman" w:hAnsi="Times New Roman" w:cs="Times New Roman"/>
          <w:b/>
          <w:b/>
          <w:lang w:val="ru-RU"/>
        </w:rPr>
      </w:pPr>
      <w:r>
        <w:rPr>
          <w:rFonts w:cs="Times New Roman" w:ascii="Times New Roman" w:hAnsi="Times New Roman"/>
          <w:b/>
          <w:lang w:val="ru-RU"/>
        </w:rPr>
        <w:t xml:space="preserve">Рис. 6. Структура земель особо охраняемых территорий и объектов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Распределение земель особо охраняемых территорий и объектов по угодьям представлено в таблице 4.</w:t>
      </w:r>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В структуре земель особо охраняемых территорий края преобладают лесные земли (покрытые и не покрытые лесами) – 90,4 % (765,6 тыс. га).</w:t>
      </w:r>
    </w:p>
    <w:p>
      <w:pPr>
        <w:pStyle w:val="NormalWeb"/>
        <w:spacing w:lineRule="auto" w:line="240" w:before="0" w:after="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Web"/>
        <w:spacing w:lineRule="auto" w:line="240" w:before="0" w:after="200"/>
        <w:contextualSpacing/>
        <w:jc w:val="center"/>
        <w:rPr>
          <w:rFonts w:ascii="Times New Roman" w:hAnsi="Times New Roman" w:cs="Times New Roman"/>
          <w:b/>
          <w:b/>
          <w:sz w:val="24"/>
          <w:szCs w:val="24"/>
          <w:lang w:val="ru-RU"/>
        </w:rPr>
      </w:pPr>
      <w:r>
        <w:rPr>
          <w:rFonts w:cs="Times New Roman" w:ascii="Times New Roman" w:hAnsi="Times New Roman"/>
          <w:b/>
          <w:lang w:val="ru-RU"/>
        </w:rPr>
        <w:t>Распределение земель особо охраняемых территорий и объектов</w:t>
      </w:r>
    </w:p>
    <w:p>
      <w:pPr>
        <w:pStyle w:val="NormalWeb"/>
        <w:spacing w:lineRule="auto" w:line="240" w:before="0" w:after="200"/>
        <w:contextualSpacing/>
        <w:jc w:val="center"/>
        <w:rPr>
          <w:rFonts w:ascii="Times New Roman" w:hAnsi="Times New Roman" w:cs="Times New Roman"/>
          <w:b/>
          <w:b/>
          <w:lang w:val="ru-RU"/>
        </w:rPr>
      </w:pPr>
      <w:r>
        <w:rPr>
          <w:rFonts w:cs="Times New Roman" w:ascii="Times New Roman" w:hAnsi="Times New Roman"/>
          <w:b/>
          <w:lang w:val="ru-RU"/>
        </w:rPr>
        <w:t>Приморского края по угодьям за 2015 год</w:t>
      </w:r>
    </w:p>
    <w:p>
      <w:pPr>
        <w:pStyle w:val="NormalWeb"/>
        <w:spacing w:lineRule="auto" w:line="240" w:before="0" w:after="0"/>
        <w:contextualSpacing/>
        <w:jc w:val="right"/>
        <w:rPr>
          <w:rFonts w:ascii="Times New Roman" w:hAnsi="Times New Roman" w:cs="Times New Roman"/>
          <w:sz w:val="24"/>
          <w:szCs w:val="24"/>
        </w:rPr>
      </w:pPr>
      <w:r>
        <w:rPr>
          <w:rFonts w:cs="Times New Roman" w:ascii="Times New Roman" w:hAnsi="Times New Roman"/>
          <w:sz w:val="24"/>
          <w:szCs w:val="24"/>
        </w:rPr>
        <w:t>Таблица 4</w:t>
      </w:r>
    </w:p>
    <w:tbl>
      <w:tblPr>
        <w:tblW w:w="9138" w:type="dxa"/>
        <w:jc w:val="center"/>
        <w:tblInd w:w="0" w:type="dxa"/>
        <w:tblLayout w:type="fixed"/>
        <w:tblCellMar>
          <w:top w:w="0" w:type="dxa"/>
          <w:left w:w="108" w:type="dxa"/>
          <w:bottom w:w="0" w:type="dxa"/>
          <w:right w:w="108" w:type="dxa"/>
        </w:tblCellMar>
        <w:tblLook w:val="00a0" w:noHBand="0" w:noVBand="0" w:firstColumn="1" w:lastRow="0" w:lastColumn="0" w:firstRow="1"/>
      </w:tblPr>
      <w:tblGrid>
        <w:gridCol w:w="685"/>
        <w:gridCol w:w="5300"/>
        <w:gridCol w:w="1347"/>
        <w:gridCol w:w="1805"/>
      </w:tblGrid>
      <w:tr>
        <w:trPr>
          <w:trHeight w:val="799" w:hRule="atLeas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lang w:val="en-US" w:eastAsia="en-US"/>
              </w:rPr>
            </w:pPr>
            <w:r>
              <w:rPr>
                <w:rFonts w:ascii="Times New Roman" w:hAnsi="Times New Roman"/>
                <w:sz w:val="24"/>
                <w:szCs w:val="24"/>
              </w:rPr>
              <w:t xml:space="preserve">№ </w:t>
            </w:r>
            <w:r>
              <w:rPr>
                <w:rFonts w:ascii="Times New Roman" w:hAnsi="Times New Roman"/>
                <w:sz w:val="24"/>
                <w:szCs w:val="24"/>
              </w:rPr>
              <w:t>п.п.</w:t>
            </w:r>
          </w:p>
        </w:tc>
        <w:tc>
          <w:tcPr>
            <w:tcW w:w="53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hanging="108"/>
              <w:jc w:val="center"/>
              <w:rPr>
                <w:rFonts w:ascii="Times New Roman" w:hAnsi="Times New Roman"/>
                <w:sz w:val="24"/>
                <w:szCs w:val="24"/>
                <w:lang w:val="en-US" w:eastAsia="en-US"/>
              </w:rPr>
            </w:pPr>
            <w:r>
              <w:rPr>
                <w:rFonts w:ascii="Times New Roman" w:hAnsi="Times New Roman"/>
                <w:sz w:val="24"/>
                <w:szCs w:val="24"/>
              </w:rPr>
              <w:t>Наименование угодий</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lang w:val="en-US" w:eastAsia="en-US"/>
              </w:rPr>
            </w:pPr>
            <w:r>
              <w:rPr>
                <w:rFonts w:ascii="Times New Roman" w:hAnsi="Times New Roman"/>
                <w:sz w:val="24"/>
                <w:szCs w:val="24"/>
              </w:rPr>
              <w:t>Площадь (тыс. га)</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72"/>
              <w:jc w:val="center"/>
              <w:rPr>
                <w:rFonts w:ascii="Times New Roman" w:hAnsi="Times New Roman"/>
                <w:sz w:val="24"/>
                <w:szCs w:val="24"/>
                <w:lang w:val="en-US" w:eastAsia="en-US"/>
              </w:rPr>
            </w:pPr>
            <w:r>
              <w:rPr>
                <w:rFonts w:ascii="Times New Roman" w:hAnsi="Times New Roman"/>
                <w:sz w:val="24"/>
                <w:szCs w:val="24"/>
              </w:rPr>
              <w:t>В процентах от категории</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1</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ind w:firstLine="72"/>
              <w:rPr>
                <w:rFonts w:ascii="Times New Roman" w:hAnsi="Times New Roman"/>
                <w:sz w:val="24"/>
                <w:szCs w:val="24"/>
                <w:lang w:val="en-US" w:eastAsia="en-US"/>
              </w:rPr>
            </w:pPr>
            <w:r>
              <w:rPr>
                <w:rFonts w:ascii="Times New Roman" w:hAnsi="Times New Roman"/>
                <w:sz w:val="24"/>
                <w:szCs w:val="24"/>
              </w:rPr>
              <w:t>Сельскохозяйственные угодья</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lang w:eastAsia="en-US"/>
              </w:rPr>
            </w:pPr>
            <w:r>
              <w:rPr>
                <w:rFonts w:ascii="Times New Roman" w:hAnsi="Times New Roman"/>
                <w:sz w:val="24"/>
                <w:szCs w:val="24"/>
                <w:lang w:eastAsia="en-US"/>
              </w:rPr>
              <w:t>36</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72"/>
              <w:jc w:val="center"/>
              <w:rPr>
                <w:rFonts w:ascii="Times New Roman" w:hAnsi="Times New Roman"/>
                <w:sz w:val="24"/>
                <w:szCs w:val="24"/>
                <w:lang w:eastAsia="en-US"/>
              </w:rPr>
            </w:pPr>
            <w:r>
              <w:rPr>
                <w:rFonts w:ascii="Times New Roman" w:hAnsi="Times New Roman"/>
                <w:sz w:val="24"/>
                <w:szCs w:val="24"/>
                <w:lang w:eastAsia="en-US"/>
              </w:rPr>
              <w:t>4,25%</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2</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ind w:firstLine="72"/>
              <w:rPr>
                <w:rFonts w:ascii="Times New Roman" w:hAnsi="Times New Roman"/>
                <w:sz w:val="24"/>
                <w:szCs w:val="24"/>
                <w:lang w:val="en-US" w:eastAsia="en-US"/>
              </w:rPr>
            </w:pPr>
            <w:r>
              <w:rPr>
                <w:rFonts w:ascii="Times New Roman" w:hAnsi="Times New Roman"/>
                <w:sz w:val="24"/>
                <w:szCs w:val="24"/>
              </w:rPr>
              <w:t>Лесные земли</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lang w:eastAsia="en-US"/>
              </w:rPr>
            </w:pPr>
            <w:r>
              <w:rPr>
                <w:rFonts w:ascii="Times New Roman" w:hAnsi="Times New Roman"/>
                <w:sz w:val="24"/>
                <w:szCs w:val="24"/>
                <w:lang w:eastAsia="en-US"/>
              </w:rPr>
              <w:t>765,6</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72"/>
              <w:jc w:val="center"/>
              <w:rPr>
                <w:rFonts w:ascii="Times New Roman" w:hAnsi="Times New Roman"/>
                <w:sz w:val="24"/>
                <w:szCs w:val="24"/>
                <w:lang w:val="en-US" w:eastAsia="en-US"/>
              </w:rPr>
            </w:pPr>
            <w:r>
              <w:rPr>
                <w:rFonts w:ascii="Times New Roman" w:hAnsi="Times New Roman"/>
                <w:sz w:val="24"/>
                <w:szCs w:val="24"/>
                <w:lang w:eastAsia="en-US"/>
              </w:rPr>
              <w:t>90,4</w:t>
            </w:r>
            <w:r>
              <w:rPr>
                <w:rFonts w:ascii="Times New Roman" w:hAnsi="Times New Roman"/>
                <w:sz w:val="24"/>
                <w:szCs w:val="24"/>
                <w:lang w:val="en-US" w:eastAsia="en-US"/>
              </w:rPr>
              <w:t>%</w:t>
            </w:r>
          </w:p>
        </w:tc>
      </w:tr>
      <w:tr>
        <w:trPr>
          <w:trHeight w:val="519" w:hRule="atLeas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4"/>
                <w:szCs w:val="24"/>
                <w:lang w:val="en-US" w:eastAsia="en-US"/>
              </w:rPr>
            </w:pPr>
            <w:r>
              <w:rPr>
                <w:rFonts w:ascii="Times New Roman" w:hAnsi="Times New Roman"/>
                <w:sz w:val="24"/>
                <w:szCs w:val="24"/>
              </w:rPr>
              <w:t>3</w:t>
            </w:r>
          </w:p>
        </w:tc>
        <w:tc>
          <w:tcPr>
            <w:tcW w:w="53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72"/>
              <w:contextualSpacing/>
              <w:rPr>
                <w:rFonts w:ascii="Times New Roman" w:hAnsi="Times New Roman"/>
                <w:sz w:val="24"/>
                <w:szCs w:val="24"/>
                <w:lang w:eastAsia="en-US"/>
              </w:rPr>
            </w:pPr>
            <w:r>
              <w:rPr>
                <w:rFonts w:ascii="Times New Roman" w:hAnsi="Times New Roman"/>
                <w:sz w:val="24"/>
                <w:szCs w:val="24"/>
              </w:rPr>
              <w:t>Земли под древесно-кустарниковой</w:t>
            </w:r>
          </w:p>
          <w:p>
            <w:pPr>
              <w:pStyle w:val="Normal"/>
              <w:widowControl w:val="false"/>
              <w:spacing w:lineRule="auto" w:line="240" w:before="0" w:after="0"/>
              <w:ind w:firstLine="72"/>
              <w:contextualSpacing/>
              <w:rPr>
                <w:rFonts w:ascii="Times New Roman" w:hAnsi="Times New Roman"/>
                <w:sz w:val="24"/>
                <w:szCs w:val="24"/>
                <w:lang w:eastAsia="en-US"/>
              </w:rPr>
            </w:pPr>
            <w:r>
              <w:rPr>
                <w:rFonts w:ascii="Times New Roman" w:hAnsi="Times New Roman"/>
                <w:sz w:val="24"/>
                <w:szCs w:val="24"/>
              </w:rPr>
              <w:t>растительностью</w:t>
            </w:r>
          </w:p>
        </w:tc>
        <w:tc>
          <w:tcPr>
            <w:tcW w:w="134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contextualSpacing/>
              <w:jc w:val="center"/>
              <w:rPr>
                <w:rFonts w:ascii="Times New Roman" w:hAnsi="Times New Roman"/>
                <w:sz w:val="24"/>
                <w:szCs w:val="24"/>
                <w:lang w:eastAsia="en-US"/>
              </w:rPr>
            </w:pPr>
            <w:r>
              <w:rPr>
                <w:rFonts w:ascii="Times New Roman" w:hAnsi="Times New Roman"/>
                <w:sz w:val="24"/>
                <w:szCs w:val="24"/>
                <w:lang w:eastAsia="en-US"/>
              </w:rPr>
              <w:t>6,9</w:t>
            </w:r>
          </w:p>
        </w:tc>
        <w:tc>
          <w:tcPr>
            <w:tcW w:w="18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72"/>
              <w:contextualSpacing/>
              <w:jc w:val="center"/>
              <w:rPr>
                <w:rFonts w:ascii="Times New Roman" w:hAnsi="Times New Roman"/>
                <w:sz w:val="24"/>
                <w:szCs w:val="24"/>
                <w:lang w:eastAsia="en-US"/>
              </w:rPr>
            </w:pPr>
            <w:r>
              <w:rPr>
                <w:rFonts w:ascii="Times New Roman" w:hAnsi="Times New Roman"/>
                <w:sz w:val="24"/>
                <w:szCs w:val="24"/>
                <w:lang w:eastAsia="en-US"/>
              </w:rPr>
              <w:t>0,8%</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4</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ind w:firstLine="72"/>
              <w:rPr>
                <w:rFonts w:ascii="Times New Roman" w:hAnsi="Times New Roman"/>
                <w:sz w:val="24"/>
                <w:szCs w:val="24"/>
                <w:lang w:val="en-US" w:eastAsia="en-US"/>
              </w:rPr>
            </w:pPr>
            <w:r>
              <w:rPr>
                <w:rFonts w:ascii="Times New Roman" w:hAnsi="Times New Roman"/>
                <w:sz w:val="24"/>
                <w:szCs w:val="24"/>
              </w:rPr>
              <w:t>Земли под водными объектами</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lang w:eastAsia="en-US"/>
              </w:rPr>
            </w:pPr>
            <w:r>
              <w:rPr>
                <w:rFonts w:ascii="Times New Roman" w:hAnsi="Times New Roman"/>
                <w:sz w:val="24"/>
                <w:szCs w:val="24"/>
                <w:lang w:eastAsia="en-US"/>
              </w:rPr>
              <w:t>3,7</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72"/>
              <w:jc w:val="center"/>
              <w:rPr>
                <w:rFonts w:ascii="Times New Roman" w:hAnsi="Times New Roman"/>
                <w:sz w:val="24"/>
                <w:szCs w:val="24"/>
                <w:lang w:eastAsia="en-US"/>
              </w:rPr>
            </w:pPr>
            <w:r>
              <w:rPr>
                <w:rFonts w:ascii="Times New Roman" w:hAnsi="Times New Roman"/>
                <w:sz w:val="24"/>
                <w:szCs w:val="24"/>
                <w:lang w:eastAsia="en-US"/>
              </w:rPr>
              <w:t>0,43%</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5</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ind w:firstLine="72"/>
              <w:rPr>
                <w:rFonts w:ascii="Times New Roman" w:hAnsi="Times New Roman"/>
                <w:sz w:val="24"/>
                <w:szCs w:val="24"/>
                <w:lang w:val="en-US" w:eastAsia="en-US"/>
              </w:rPr>
            </w:pPr>
            <w:r>
              <w:rPr>
                <w:rFonts w:ascii="Times New Roman" w:hAnsi="Times New Roman"/>
                <w:sz w:val="24"/>
                <w:szCs w:val="24"/>
              </w:rPr>
              <w:t>Земли под застройкой</w:t>
            </w:r>
          </w:p>
          <w:p>
            <w:pPr>
              <w:pStyle w:val="Normal"/>
              <w:widowControl w:val="false"/>
              <w:spacing w:lineRule="auto" w:line="240" w:before="0" w:after="0"/>
              <w:ind w:firstLine="72"/>
              <w:rPr>
                <w:rFonts w:ascii="Times New Roman" w:hAnsi="Times New Roman"/>
                <w:sz w:val="24"/>
                <w:szCs w:val="24"/>
                <w:lang w:val="en-US" w:eastAsia="en-US"/>
              </w:rPr>
            </w:pPr>
            <w:r>
              <w:rPr>
                <w:rFonts w:ascii="Times New Roman" w:hAnsi="Times New Roman"/>
                <w:sz w:val="24"/>
                <w:szCs w:val="24"/>
                <w:lang w:val="en-US" w:eastAsia="en-US"/>
              </w:rPr>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lang w:eastAsia="en-US"/>
              </w:rPr>
            </w:pPr>
            <w:r>
              <w:rPr>
                <w:rFonts w:ascii="Times New Roman" w:hAnsi="Times New Roman"/>
                <w:sz w:val="24"/>
                <w:szCs w:val="24"/>
                <w:lang w:eastAsia="en-US"/>
              </w:rPr>
              <w:t>0,</w:t>
            </w:r>
            <w:r>
              <w:rPr>
                <w:rFonts w:ascii="Times New Roman" w:hAnsi="Times New Roman"/>
                <w:sz w:val="24"/>
                <w:szCs w:val="24"/>
                <w:lang w:val="en-US" w:eastAsia="en-US"/>
              </w:rPr>
              <w:t>2</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72"/>
              <w:jc w:val="center"/>
              <w:rPr>
                <w:rFonts w:ascii="Times New Roman" w:hAnsi="Times New Roman"/>
                <w:sz w:val="24"/>
                <w:szCs w:val="24"/>
                <w:lang w:eastAsia="en-US"/>
              </w:rPr>
            </w:pPr>
            <w:r>
              <w:rPr>
                <w:rFonts w:ascii="Times New Roman" w:hAnsi="Times New Roman"/>
                <w:sz w:val="24"/>
                <w:szCs w:val="24"/>
                <w:lang w:eastAsia="en-US"/>
              </w:rPr>
              <w:t>0,0</w:t>
            </w:r>
            <w:r>
              <w:rPr>
                <w:rFonts w:ascii="Times New Roman" w:hAnsi="Times New Roman"/>
                <w:sz w:val="24"/>
                <w:szCs w:val="24"/>
                <w:lang w:val="en-US" w:eastAsia="en-US"/>
              </w:rPr>
              <w:t>2</w:t>
            </w:r>
            <w:r>
              <w:rPr>
                <w:rFonts w:ascii="Times New Roman" w:hAnsi="Times New Roman"/>
                <w:sz w:val="24"/>
                <w:szCs w:val="24"/>
                <w:lang w:eastAsia="en-US"/>
              </w:rPr>
              <w:t>%</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6</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ind w:firstLine="72"/>
              <w:rPr>
                <w:rFonts w:ascii="Times New Roman" w:hAnsi="Times New Roman"/>
                <w:sz w:val="24"/>
                <w:szCs w:val="24"/>
                <w:lang w:val="en-US" w:eastAsia="en-US"/>
              </w:rPr>
            </w:pPr>
            <w:r>
              <w:rPr>
                <w:rFonts w:ascii="Times New Roman" w:hAnsi="Times New Roman"/>
                <w:sz w:val="24"/>
                <w:szCs w:val="24"/>
              </w:rPr>
              <w:t>Земли под дорогами</w:t>
            </w:r>
          </w:p>
          <w:p>
            <w:pPr>
              <w:pStyle w:val="Normal"/>
              <w:widowControl w:val="false"/>
              <w:spacing w:lineRule="auto" w:line="240" w:before="0" w:after="0"/>
              <w:ind w:firstLine="72"/>
              <w:rPr>
                <w:rFonts w:ascii="Times New Roman" w:hAnsi="Times New Roman"/>
                <w:sz w:val="24"/>
                <w:szCs w:val="24"/>
                <w:lang w:val="en-US" w:eastAsia="en-US"/>
              </w:rPr>
            </w:pPr>
            <w:r>
              <w:rPr>
                <w:rFonts w:ascii="Times New Roman" w:hAnsi="Times New Roman"/>
                <w:sz w:val="24"/>
                <w:szCs w:val="24"/>
                <w:lang w:val="en-US" w:eastAsia="en-US"/>
              </w:rPr>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lang w:eastAsia="en-US"/>
              </w:rPr>
            </w:pPr>
            <w:r>
              <w:rPr>
                <w:rFonts w:ascii="Times New Roman" w:hAnsi="Times New Roman"/>
                <w:sz w:val="24"/>
                <w:szCs w:val="24"/>
                <w:lang w:eastAsia="en-US"/>
              </w:rPr>
              <w:t>0,5</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72"/>
              <w:jc w:val="center"/>
              <w:rPr>
                <w:rFonts w:ascii="Times New Roman" w:hAnsi="Times New Roman"/>
                <w:sz w:val="24"/>
                <w:szCs w:val="24"/>
                <w:lang w:eastAsia="en-US"/>
              </w:rPr>
            </w:pPr>
            <w:r>
              <w:rPr>
                <w:rFonts w:ascii="Times New Roman" w:hAnsi="Times New Roman"/>
                <w:sz w:val="24"/>
                <w:szCs w:val="24"/>
                <w:lang w:eastAsia="en-US"/>
              </w:rPr>
              <w:t>0,1%</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7</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ind w:firstLine="72"/>
              <w:rPr>
                <w:rFonts w:ascii="Times New Roman" w:hAnsi="Times New Roman"/>
                <w:sz w:val="24"/>
                <w:szCs w:val="24"/>
                <w:lang w:val="en-US" w:eastAsia="en-US"/>
              </w:rPr>
            </w:pPr>
            <w:r>
              <w:rPr>
                <w:rFonts w:ascii="Times New Roman" w:hAnsi="Times New Roman"/>
                <w:sz w:val="24"/>
                <w:szCs w:val="24"/>
              </w:rPr>
              <w:t>Болота</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lang w:eastAsia="en-US"/>
              </w:rPr>
            </w:pPr>
            <w:r>
              <w:rPr>
                <w:rFonts w:ascii="Times New Roman" w:hAnsi="Times New Roman"/>
                <w:sz w:val="24"/>
                <w:szCs w:val="24"/>
                <w:lang w:eastAsia="en-US"/>
              </w:rPr>
              <w:t>28,3</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72"/>
              <w:jc w:val="center"/>
              <w:rPr>
                <w:rFonts w:ascii="Times New Roman" w:hAnsi="Times New Roman"/>
                <w:sz w:val="24"/>
                <w:szCs w:val="24"/>
                <w:lang w:eastAsia="en-US"/>
              </w:rPr>
            </w:pPr>
            <w:r>
              <w:rPr>
                <w:rFonts w:ascii="Times New Roman" w:hAnsi="Times New Roman"/>
                <w:sz w:val="24"/>
                <w:szCs w:val="24"/>
                <w:lang w:eastAsia="en-US"/>
              </w:rPr>
              <w:t>3,3%</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8</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ind w:firstLine="72"/>
              <w:rPr>
                <w:rFonts w:ascii="Times New Roman" w:hAnsi="Times New Roman"/>
                <w:sz w:val="24"/>
                <w:szCs w:val="24"/>
                <w:lang w:val="en-US" w:eastAsia="en-US"/>
              </w:rPr>
            </w:pPr>
            <w:r>
              <w:rPr>
                <w:rFonts w:ascii="Times New Roman" w:hAnsi="Times New Roman"/>
                <w:sz w:val="24"/>
                <w:szCs w:val="24"/>
              </w:rPr>
              <w:t>Нарушенные земли</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lang w:eastAsia="en-US"/>
              </w:rPr>
            </w:pPr>
            <w:r>
              <w:rPr>
                <w:rFonts w:ascii="Times New Roman" w:hAnsi="Times New Roman"/>
                <w:sz w:val="24"/>
                <w:szCs w:val="24"/>
                <w:lang w:eastAsia="en-US"/>
              </w:rPr>
              <w:t>-</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72"/>
              <w:jc w:val="center"/>
              <w:rPr>
                <w:rFonts w:ascii="Times New Roman" w:hAnsi="Times New Roman"/>
                <w:sz w:val="24"/>
                <w:szCs w:val="24"/>
                <w:lang w:eastAsia="en-US"/>
              </w:rPr>
            </w:pPr>
            <w:r>
              <w:rPr>
                <w:rFonts w:ascii="Times New Roman" w:hAnsi="Times New Roman"/>
                <w:sz w:val="24"/>
                <w:szCs w:val="24"/>
                <w:lang w:eastAsia="en-US"/>
              </w:rPr>
              <w:t>-</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sz w:val="24"/>
                <w:szCs w:val="24"/>
              </w:rPr>
            </w:pPr>
            <w:r>
              <w:rPr>
                <w:rFonts w:ascii="Times New Roman" w:hAnsi="Times New Roman"/>
                <w:sz w:val="24"/>
                <w:szCs w:val="24"/>
              </w:rPr>
              <w:t>9</w:t>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ind w:firstLine="72"/>
              <w:rPr>
                <w:rFonts w:ascii="Times New Roman" w:hAnsi="Times New Roman"/>
                <w:sz w:val="24"/>
                <w:szCs w:val="24"/>
                <w:lang w:val="en-US" w:eastAsia="en-US"/>
              </w:rPr>
            </w:pPr>
            <w:r>
              <w:rPr>
                <w:rFonts w:ascii="Times New Roman" w:hAnsi="Times New Roman"/>
                <w:sz w:val="24"/>
                <w:szCs w:val="24"/>
              </w:rPr>
              <w:t>Прочие земли</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lang w:eastAsia="en-US"/>
              </w:rPr>
            </w:pPr>
            <w:r>
              <w:rPr>
                <w:rFonts w:ascii="Times New Roman" w:hAnsi="Times New Roman"/>
                <w:sz w:val="24"/>
                <w:szCs w:val="24"/>
                <w:lang w:eastAsia="en-US"/>
              </w:rPr>
              <w:t>6,1</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72"/>
              <w:jc w:val="center"/>
              <w:rPr>
                <w:rFonts w:ascii="Times New Roman" w:hAnsi="Times New Roman"/>
                <w:sz w:val="24"/>
                <w:szCs w:val="24"/>
                <w:lang w:eastAsia="en-US"/>
              </w:rPr>
            </w:pPr>
            <w:r>
              <w:rPr>
                <w:rFonts w:ascii="Times New Roman" w:hAnsi="Times New Roman"/>
                <w:sz w:val="24"/>
                <w:szCs w:val="24"/>
                <w:lang w:eastAsia="en-US"/>
              </w:rPr>
              <w:t>0,7%</w:t>
            </w:r>
          </w:p>
        </w:tc>
      </w:tr>
      <w:tr>
        <w:trPr>
          <w:trHeight w:val="284" w:hRule="exact"/>
        </w:trPr>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lang w:val="en-US" w:eastAsia="en-US"/>
              </w:rPr>
            </w:pPr>
            <w:r>
              <w:rPr>
                <w:rFonts w:ascii="Times New Roman" w:hAnsi="Times New Roman"/>
                <w:sz w:val="24"/>
                <w:szCs w:val="24"/>
                <w:lang w:val="en-US" w:eastAsia="en-US"/>
              </w:rPr>
            </w:r>
          </w:p>
        </w:tc>
        <w:tc>
          <w:tcPr>
            <w:tcW w:w="53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ind w:firstLine="72"/>
              <w:rPr>
                <w:rFonts w:ascii="Times New Roman" w:hAnsi="Times New Roman"/>
                <w:b/>
                <w:b/>
                <w:bCs/>
                <w:iCs/>
                <w:sz w:val="24"/>
                <w:szCs w:val="24"/>
                <w:lang w:val="en-US" w:eastAsia="en-US"/>
              </w:rPr>
            </w:pPr>
            <w:r>
              <w:rPr>
                <w:rFonts w:ascii="Times New Roman" w:hAnsi="Times New Roman"/>
                <w:b/>
                <w:bCs/>
                <w:iCs/>
                <w:sz w:val="24"/>
                <w:szCs w:val="24"/>
              </w:rPr>
              <w:t>Итого</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b/>
                <w:b/>
                <w:bCs/>
                <w:iCs/>
                <w:sz w:val="24"/>
                <w:szCs w:val="24"/>
                <w:lang w:eastAsia="en-US"/>
              </w:rPr>
            </w:pPr>
            <w:r>
              <w:rPr>
                <w:rFonts w:ascii="Times New Roman" w:hAnsi="Times New Roman"/>
                <w:b/>
                <w:bCs/>
                <w:iCs/>
                <w:sz w:val="24"/>
                <w:szCs w:val="24"/>
                <w:lang w:eastAsia="en-US"/>
              </w:rPr>
              <w:t>847,</w:t>
            </w:r>
            <w:r>
              <w:rPr>
                <w:rFonts w:ascii="Times New Roman" w:hAnsi="Times New Roman"/>
                <w:b/>
                <w:bCs/>
                <w:iCs/>
                <w:sz w:val="24"/>
                <w:szCs w:val="24"/>
                <w:lang w:val="en-US" w:eastAsia="en-US"/>
              </w:rPr>
              <w:t>3</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72"/>
              <w:jc w:val="center"/>
              <w:rPr>
                <w:rFonts w:ascii="Times New Roman" w:hAnsi="Times New Roman"/>
                <w:b/>
                <w:b/>
                <w:bCs/>
                <w:iCs/>
                <w:sz w:val="24"/>
                <w:szCs w:val="24"/>
                <w:lang w:val="en-US" w:eastAsia="en-US"/>
              </w:rPr>
            </w:pPr>
            <w:r>
              <w:rPr>
                <w:rFonts w:ascii="Times New Roman" w:hAnsi="Times New Roman"/>
                <w:b/>
                <w:bCs/>
                <w:iCs/>
                <w:sz w:val="24"/>
                <w:szCs w:val="24"/>
              </w:rPr>
              <w:t>100,0%</w:t>
            </w:r>
          </w:p>
        </w:tc>
      </w:tr>
    </w:tbl>
    <w:p>
      <w:pPr>
        <w:pStyle w:val="Normal"/>
        <w:spacing w:before="0" w:after="0"/>
        <w:rPr>
          <w:rFonts w:ascii="Cambria" w:hAnsi="Cambria" w:cs="" w:asciiTheme="majorHAnsi" w:cstheme="majorBidi" w:hAnsiTheme="majorHAnsi"/>
          <w:lang w:val="en-US" w:eastAsia="en-US" w:bidi="en-US"/>
        </w:rPr>
      </w:pPr>
      <w:r>
        <w:rPr>
          <w:rFonts w:cs="" w:cstheme="majorBidi" w:ascii="Cambria" w:hAnsi="Cambria"/>
          <w:lang w:val="en-US" w:eastAsia="en-US" w:bidi="en-US"/>
        </w:rPr>
      </w:r>
    </w:p>
    <w:p>
      <w:pPr>
        <w:pStyle w:val="Normal"/>
        <w:spacing w:before="0" w:after="0"/>
        <w:rPr>
          <w:rFonts w:ascii="Cambria" w:hAnsi="Cambria" w:cs="" w:asciiTheme="majorHAnsi" w:cstheme="majorBidi" w:hAnsiTheme="majorHAnsi"/>
          <w:lang w:val="en-US" w:eastAsia="en-US" w:bidi="en-US"/>
        </w:rPr>
      </w:pPr>
      <w:r>
        <w:rPr>
          <w:rFonts w:cs="" w:cstheme="majorBidi" w:ascii="Cambria" w:hAnsi="Cambria"/>
          <w:lang w:val="en-US" w:eastAsia="en-US" w:bidi="en-US"/>
        </w:rPr>
      </w:r>
    </w:p>
    <w:p>
      <w:pPr>
        <w:pStyle w:val="Normal"/>
        <w:spacing w:before="0" w:after="0"/>
        <w:rPr>
          <w:rFonts w:ascii="Cambria" w:hAnsi="Cambria" w:cs="" w:asciiTheme="majorHAnsi" w:cstheme="majorBidi" w:hAnsiTheme="majorHAnsi"/>
          <w:lang w:val="en-US" w:eastAsia="en-US" w:bidi="en-US"/>
        </w:rPr>
      </w:pPr>
      <w:r>
        <w:rPr>
          <w:rFonts w:cs="" w:cstheme="majorBidi" w:ascii="Cambria" w:hAnsi="Cambria"/>
          <w:lang w:val="en-US" w:eastAsia="en-US" w:bidi="en-US"/>
        </w:rPr>
      </w:r>
    </w:p>
    <w:p>
      <w:pPr>
        <w:pStyle w:val="Normal"/>
        <w:spacing w:before="0" w:after="0"/>
        <w:rPr>
          <w:rFonts w:ascii="Cambria" w:hAnsi="Cambria" w:cs="" w:asciiTheme="majorHAnsi" w:cstheme="majorBidi" w:hAnsiTheme="majorHAnsi"/>
          <w:lang w:val="en-US" w:eastAsia="en-US" w:bidi="en-US"/>
        </w:rPr>
      </w:pPr>
      <w:r>
        <w:rPr>
          <w:rFonts w:cs="" w:cstheme="majorBidi" w:ascii="Cambria" w:hAnsi="Cambria"/>
          <w:lang w:val="en-US" w:eastAsia="en-US" w:bidi="en-US"/>
        </w:rPr>
      </w:r>
    </w:p>
    <w:p>
      <w:pPr>
        <w:pStyle w:val="Normal"/>
        <w:spacing w:before="0" w:after="0"/>
        <w:rPr>
          <w:rFonts w:ascii="Cambria" w:hAnsi="Cambria" w:cs="" w:asciiTheme="majorHAnsi" w:cstheme="majorBidi" w:hAnsiTheme="majorHAnsi"/>
          <w:lang w:val="en-US" w:eastAsia="en-US" w:bidi="en-US"/>
        </w:rPr>
      </w:pPr>
      <w:r>
        <w:rPr>
          <w:rFonts w:cs="" w:cstheme="majorBidi" w:ascii="Cambria" w:hAnsi="Cambria"/>
          <w:lang w:val="en-US" w:eastAsia="en-US" w:bidi="en-US"/>
        </w:rPr>
      </w:r>
    </w:p>
    <w:p>
      <w:pPr>
        <w:pStyle w:val="Normal"/>
        <w:spacing w:before="0" w:after="0"/>
        <w:rPr>
          <w:rFonts w:ascii="Cambria" w:hAnsi="Cambria" w:cs="" w:asciiTheme="majorHAnsi" w:cstheme="majorBidi" w:hAnsiTheme="majorHAnsi"/>
          <w:lang w:val="en-US" w:eastAsia="en-US" w:bidi="en-US"/>
        </w:rPr>
      </w:pPr>
      <w:r>
        <w:rPr>
          <w:rFonts w:cs="" w:cstheme="majorBidi" w:ascii="Cambria" w:hAnsi="Cambria"/>
          <w:lang w:val="en-US" w:eastAsia="en-US" w:bidi="en-US"/>
        </w:rPr>
      </w:r>
    </w:p>
    <w:p>
      <w:pPr>
        <w:pStyle w:val="Normal"/>
        <w:spacing w:before="0" w:after="0"/>
        <w:rPr>
          <w:rFonts w:ascii="Cambria" w:hAnsi="Cambria" w:cs="" w:asciiTheme="majorHAnsi" w:cstheme="majorBidi" w:hAnsiTheme="majorHAnsi"/>
          <w:lang w:val="en-US" w:eastAsia="en-US" w:bidi="en-US"/>
        </w:rPr>
      </w:pPr>
      <w:r>
        <w:rPr>
          <w:rFonts w:cs="" w:cstheme="majorBidi" w:ascii="Cambria" w:hAnsi="Cambria"/>
          <w:lang w:val="en-US" w:eastAsia="en-US" w:bidi="en-US"/>
        </w:rPr>
      </w:r>
    </w:p>
    <w:p>
      <w:pPr>
        <w:pStyle w:val="Normal"/>
        <w:spacing w:before="0" w:after="0"/>
        <w:rPr>
          <w:rFonts w:ascii="Cambria" w:hAnsi="Cambria" w:cs="" w:asciiTheme="majorHAnsi" w:cstheme="majorBidi" w:hAnsiTheme="majorHAnsi"/>
          <w:lang w:val="en-US" w:eastAsia="en-US" w:bidi="en-US"/>
        </w:rPr>
      </w:pPr>
      <w:r>
        <w:rPr>
          <w:rFonts w:cs="" w:cstheme="majorBidi" w:ascii="Cambria" w:hAnsi="Cambria"/>
          <w:lang w:val="en-US" w:eastAsia="en-US" w:bidi="en-US"/>
        </w:rPr>
      </w:r>
    </w:p>
    <w:p>
      <w:pPr>
        <w:pStyle w:val="Normal"/>
        <w:spacing w:before="0" w:after="0"/>
        <w:rPr>
          <w:rFonts w:ascii="Cambria" w:hAnsi="Cambria" w:cs="" w:asciiTheme="majorHAnsi" w:cstheme="majorBidi" w:hAnsiTheme="majorHAnsi"/>
          <w:lang w:val="en-US" w:eastAsia="en-US" w:bidi="en-US"/>
        </w:rPr>
      </w:pPr>
      <w:r>
        <w:rPr>
          <w:rFonts w:cs="" w:cstheme="majorBidi" w:ascii="Cambria" w:hAnsi="Cambria"/>
          <w:lang w:val="en-US" w:eastAsia="en-US" w:bidi="en-US"/>
        </w:rPr>
      </w:r>
    </w:p>
    <w:p>
      <w:pPr>
        <w:pStyle w:val="NormalWeb"/>
        <w:numPr>
          <w:ilvl w:val="2"/>
          <w:numId w:val="1"/>
        </w:numPr>
        <w:jc w:val="center"/>
        <w:rPr>
          <w:rFonts w:ascii="Times New Roman" w:hAnsi="Times New Roman" w:cs="Times New Roman"/>
          <w:b/>
          <w:b/>
          <w:sz w:val="28"/>
          <w:szCs w:val="28"/>
        </w:rPr>
      </w:pPr>
      <w:bookmarkStart w:id="136" w:name="_Toc34212839"/>
      <w:bookmarkStart w:id="137" w:name="_Toc34558210"/>
      <w:bookmarkStart w:id="138" w:name="_Toc34559010"/>
      <w:bookmarkStart w:id="139" w:name="_Toc34559187"/>
      <w:bookmarkStart w:id="140" w:name="_Toc34560039"/>
      <w:bookmarkStart w:id="141" w:name="_Toc34560087"/>
      <w:bookmarkStart w:id="142" w:name="_Toc34560177"/>
      <w:bookmarkStart w:id="143" w:name="_Toc65489221"/>
      <w:bookmarkStart w:id="144" w:name="_Toc96823390"/>
      <w:bookmarkStart w:id="145" w:name="_Toc97106164"/>
      <w:bookmarkStart w:id="146" w:name="_Toc130628063"/>
      <w:bookmarkStart w:id="147" w:name="_Toc256850164"/>
      <w:r>
        <w:rPr>
          <w:rFonts w:cs="Times New Roman" w:ascii="Times New Roman" w:hAnsi="Times New Roman"/>
          <w:b/>
          <w:sz w:val="28"/>
          <w:szCs w:val="28"/>
        </w:rPr>
        <w:t>Земли лесного фонда</w:t>
      </w:r>
      <w:bookmarkEnd w:id="136"/>
      <w:bookmarkEnd w:id="137"/>
      <w:bookmarkEnd w:id="138"/>
      <w:bookmarkEnd w:id="139"/>
      <w:bookmarkEnd w:id="140"/>
      <w:bookmarkEnd w:id="141"/>
      <w:bookmarkEnd w:id="142"/>
      <w:bookmarkEnd w:id="143"/>
      <w:bookmarkEnd w:id="144"/>
      <w:bookmarkEnd w:id="145"/>
      <w:bookmarkEnd w:id="146"/>
      <w:bookmarkEnd w:id="147"/>
    </w:p>
    <w:p>
      <w:pPr>
        <w:pStyle w:val="NormalWeb"/>
        <w:spacing w:lineRule="auto" w:line="240" w:before="0" w:after="200"/>
        <w:ind w:firstLine="709"/>
        <w:contextualSpacing/>
        <w:jc w:val="both"/>
        <w:rPr>
          <w:rFonts w:ascii="Times New Roman" w:hAnsi="Times New Roman"/>
          <w:sz w:val="28"/>
          <w:szCs w:val="28"/>
          <w:lang w:val="ru-RU"/>
        </w:rPr>
      </w:pPr>
      <w:r>
        <mc:AlternateContent>
          <mc:Choice Requires="wps">
            <w:drawing>
              <wp:anchor behindDoc="0" distT="0" distB="0" distL="90170" distR="114935" simplePos="0" locked="0" layoutInCell="0" allowOverlap="1" relativeHeight="10" wp14:anchorId="27702184">
                <wp:simplePos x="0" y="0"/>
                <wp:positionH relativeFrom="column">
                  <wp:posOffset>-99060</wp:posOffset>
                </wp:positionH>
                <wp:positionV relativeFrom="paragraph">
                  <wp:posOffset>109855</wp:posOffset>
                </wp:positionV>
                <wp:extent cx="2284095" cy="1457325"/>
                <wp:effectExtent l="24130" t="24130" r="77470" b="77470"/>
                <wp:wrapSquare wrapText="bothSides"/>
                <wp:docPr id="14" name="Рисунок 13" descr="пр11"/>
                <a:graphic xmlns:a="http://schemas.openxmlformats.org/drawingml/2006/main">
                  <a:graphicData uri="http://schemas.openxmlformats.org/drawingml/2006/picture">
                    <pic:pic xmlns:pic="http://schemas.openxmlformats.org/drawingml/2006/picture">
                      <pic:nvPicPr>
                        <pic:cNvPr id="3" name="Рисунок 13" descr="пр11"/>
                        <pic:cNvPicPr/>
                      </pic:nvPicPr>
                      <pic:blipFill>
                        <a:blip r:embed="rId65"/>
                        <a:stretch/>
                      </pic:blipFill>
                      <pic:spPr>
                        <a:xfrm>
                          <a:off x="0" y="0"/>
                          <a:ext cx="2284200" cy="1457280"/>
                        </a:xfrm>
                        <a:prstGeom prst="rect">
                          <a:avLst/>
                        </a:prstGeom>
                        <a:ln w="9525">
                          <a:noFill/>
                        </a:ln>
                        <a:effectLst>
                          <a:outerShdw algn="tl" blurRad="50760" dir="2700000" dist="37674" rotWithShape="0">
                            <a:srgbClr val="000000">
                              <a:alpha val="40000"/>
                            </a:srgbClr>
                          </a:outerShdw>
                        </a:effectLst>
                      </pic:spPr>
                    </pic:pic>
                  </a:graphicData>
                </a:graphic>
              </wp:anchor>
            </w:drawing>
          </mc:Choice>
          <mc:Fallback>
            <w:pict>
              <v:shape id="shape_0" ID="Рисунок 13" stroked="f" o:allowincell="f" style="position:absolute;margin-left:-7.8pt;margin-top:8.65pt;width:179.8pt;height:114.7pt;mso-wrap-style:none;v-text-anchor:middle" wp14:anchorId="27702184" type="_x0000_t75">
                <v:imagedata r:id="rId65" o:detectmouseclick="t"/>
                <v:stroke color="#3465a4" weight="9360" joinstyle="miter" endcap="flat"/>
                <w10:wrap type="square"/>
              </v:shape>
            </w:pict>
          </mc:Fallback>
        </mc:AlternateContent>
      </w:r>
      <w:r>
        <w:rPr>
          <w:rFonts w:ascii="Times New Roman" w:hAnsi="Times New Roman"/>
          <w:sz w:val="28"/>
          <w:szCs w:val="28"/>
          <w:lang w:val="ru-RU"/>
        </w:rPr>
        <w:t>Площадь земель лесного фонда на 1 января 2017 года составила 12150,9 тыс. га или 73,8%  от общей площади территории края.  В соответствии с Лесным и Земельным кодексами Российской Федерации к данной категории относят лесные и нелесные земли.</w:t>
      </w:r>
    </w:p>
    <w:p>
      <w:pPr>
        <w:pStyle w:val="NormalWeb"/>
        <w:spacing w:lineRule="auto" w:line="240" w:before="0" w:after="0"/>
        <w:ind w:firstLine="709"/>
        <w:jc w:val="both"/>
        <w:rPr>
          <w:rFonts w:ascii="Times New Roman" w:hAnsi="Times New Roman"/>
          <w:sz w:val="28"/>
          <w:szCs w:val="28"/>
          <w:lang w:val="ru-RU"/>
        </w:rPr>
      </w:pPr>
      <w:r>
        <w:rPr>
          <w:rFonts w:ascii="Times New Roman" w:hAnsi="Times New Roman"/>
          <w:sz w:val="28"/>
          <w:szCs w:val="28"/>
          <w:lang w:val="ru-RU"/>
        </w:rPr>
        <w:t>Лесные земли представлены участками, покрытыми лесной растительностью, и участками, не покрытыми лесной растительностью, но предназначенными для ее восстановления (вырубки, гари, участки, занятые питомниками и т.</w:t>
      </w:r>
      <w:r>
        <w:rPr>
          <w:rFonts w:ascii="Times New Roman" w:hAnsi="Times New Roman"/>
          <w:sz w:val="28"/>
          <w:szCs w:val="28"/>
        </w:rPr>
        <w:t> </w:t>
      </w:r>
      <w:r>
        <w:rPr>
          <w:rFonts w:ascii="Times New Roman" w:hAnsi="Times New Roman"/>
          <w:sz w:val="28"/>
          <w:szCs w:val="28"/>
          <w:lang w:val="ru-RU"/>
        </w:rPr>
        <w:t>п.). К нелесным отнесены земли, предназначенные для ведения лесного хозяйства (просеки, дороги, и др.).</w:t>
      </w:r>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Все леса, за исключением лесов, расположенных на землях обороны и землях городских и сельских населенных пунктов, а также земли лесного фонда не покрытые лесной растительностью (лесные и нелесные земли), образуют лесной фонд.</w:t>
      </w:r>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Основную долю земель лесного фонда края составляют лесные земли – 11772 тыс. га (96,9%), из них 11611,5 тыс. га приходится на земли, покрытые лесом, и 160,5 тыс. га на земли, не покрытые лесом.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Площадь нелесных земель составила 378,9 тыс. га, из которых большая часть приходилась на болота (133,7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Фондодержателями лесного фонда являются лесничества, за которыми закрепляются определенные участки лесного фонда с целью осуществления конкретной деятельности. В этой категории находятся также лесные земли, переданные в аренду или срочное пользование другим землепользователям, представленные мелкими вкрапленными среди леса контурами, используемыми для посадки огородов, сенокошения и выпаса скота.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В состав земель лесного фонда не включены леса, учтенные в других категориях. Данные о распределении земель лесного фонда по угодьям представлены в таблице 5.</w:t>
      </w:r>
    </w:p>
    <w:p>
      <w:pPr>
        <w:pStyle w:val="Normal"/>
        <w:spacing w:lineRule="auto" w:line="240" w:before="0" w:after="0"/>
        <w:ind w:firstLine="289"/>
        <w:contextualSpacing/>
        <w:jc w:val="center"/>
        <w:rPr>
          <w:rFonts w:ascii="Times New Roman" w:hAnsi="Times New Roman" w:cs="Times New Roman"/>
          <w:b/>
          <w:b/>
          <w:sz w:val="24"/>
          <w:szCs w:val="24"/>
        </w:rPr>
      </w:pPr>
      <w:bookmarkStart w:id="148" w:name="_Toc96823391"/>
      <w:bookmarkStart w:id="149" w:name="_Toc97106165"/>
      <w:bookmarkStart w:id="150" w:name="_Toc65489222"/>
      <w:bookmarkStart w:id="151" w:name="_Toc34560178"/>
      <w:bookmarkStart w:id="152" w:name="_Toc34560088"/>
      <w:bookmarkStart w:id="153" w:name="_Toc34560040"/>
      <w:bookmarkStart w:id="154" w:name="_Toc34559188"/>
      <w:bookmarkStart w:id="155" w:name="_Toc34559011"/>
      <w:bookmarkStart w:id="156" w:name="_Toc34558211"/>
      <w:bookmarkStart w:id="157" w:name="_Toc34212840"/>
      <w:bookmarkStart w:id="158" w:name="_Toc256850165"/>
      <w:bookmarkStart w:id="159" w:name="_Toc130628064"/>
      <w:r>
        <w:rPr>
          <w:rFonts w:cs="Times New Roman" w:ascii="Times New Roman" w:hAnsi="Times New Roman"/>
          <w:b/>
          <w:sz w:val="24"/>
          <w:szCs w:val="24"/>
        </w:rPr>
        <w:t>Распределение земель лесного фонда Приморского края по угодьям за 2016 год</w:t>
      </w:r>
    </w:p>
    <w:p>
      <w:pPr>
        <w:pStyle w:val="Normal"/>
        <w:spacing w:lineRule="auto" w:line="240" w:before="0" w:after="200"/>
        <w:ind w:firstLine="709"/>
        <w:contextualSpacing/>
        <w:jc w:val="right"/>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firstLine="709"/>
        <w:contextualSpacing/>
        <w:jc w:val="right"/>
        <w:rPr>
          <w:rFonts w:ascii="Times New Roman" w:hAnsi="Times New Roman" w:cs="Times New Roman"/>
          <w:sz w:val="24"/>
          <w:szCs w:val="24"/>
        </w:rPr>
      </w:pPr>
      <w:r>
        <w:rPr>
          <w:rFonts w:cs="Times New Roman" w:ascii="Times New Roman" w:hAnsi="Times New Roman"/>
          <w:sz w:val="24"/>
          <w:szCs w:val="24"/>
        </w:rPr>
        <w:t>Таблица 5</w:t>
      </w:r>
    </w:p>
    <w:tbl>
      <w:tblPr>
        <w:tblW w:w="9572" w:type="dxa"/>
        <w:jc w:val="center"/>
        <w:tblInd w:w="0" w:type="dxa"/>
        <w:tblLayout w:type="fixed"/>
        <w:tblCellMar>
          <w:top w:w="0" w:type="dxa"/>
          <w:left w:w="108" w:type="dxa"/>
          <w:bottom w:w="0" w:type="dxa"/>
          <w:right w:w="108" w:type="dxa"/>
        </w:tblCellMar>
        <w:tblLook w:val="00a0" w:noHBand="0" w:noVBand="0" w:firstColumn="1" w:lastRow="0" w:lastColumn="0" w:firstRow="1"/>
      </w:tblPr>
      <w:tblGrid>
        <w:gridCol w:w="750"/>
        <w:gridCol w:w="4617"/>
        <w:gridCol w:w="2411"/>
        <w:gridCol w:w="1793"/>
      </w:tblGrid>
      <w:tr>
        <w:trPr>
          <w:trHeight w:val="809" w:hRule="exact"/>
        </w:trPr>
        <w:tc>
          <w:tcPr>
            <w:tcW w:w="7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4"/>
                <w:szCs w:val="24"/>
                <w:lang w:val="en-US" w:eastAsia="en-US"/>
              </w:rPr>
            </w:pPr>
            <w:r>
              <w:rPr>
                <w:rFonts w:ascii="Times New Roman" w:hAnsi="Times New Roman"/>
                <w:sz w:val="24"/>
                <w:szCs w:val="24"/>
              </w:rPr>
              <w:t xml:space="preserve">№ </w:t>
            </w:r>
            <w:r>
              <w:rPr>
                <w:rFonts w:ascii="Times New Roman" w:hAnsi="Times New Roman"/>
                <w:sz w:val="24"/>
                <w:szCs w:val="24"/>
              </w:rPr>
              <w:t>п.п.</w:t>
            </w:r>
          </w:p>
        </w:tc>
        <w:tc>
          <w:tcPr>
            <w:tcW w:w="46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ind w:hanging="108"/>
              <w:jc w:val="center"/>
              <w:rPr>
                <w:rFonts w:ascii="Times New Roman" w:hAnsi="Times New Roman"/>
                <w:sz w:val="24"/>
                <w:szCs w:val="24"/>
                <w:lang w:val="en-US" w:eastAsia="en-US"/>
              </w:rPr>
            </w:pPr>
            <w:r>
              <w:rPr>
                <w:rFonts w:ascii="Times New Roman" w:hAnsi="Times New Roman"/>
                <w:sz w:val="24"/>
                <w:szCs w:val="24"/>
              </w:rPr>
              <w:t>Наименование угодий</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4"/>
                <w:szCs w:val="24"/>
                <w:lang w:val="en-US" w:eastAsia="en-US"/>
              </w:rPr>
            </w:pPr>
            <w:r>
              <w:rPr>
                <w:rFonts w:ascii="Times New Roman" w:hAnsi="Times New Roman"/>
                <w:sz w:val="24"/>
                <w:szCs w:val="24"/>
              </w:rPr>
              <w:t>Площадь (тыс. га)</w:t>
            </w:r>
          </w:p>
        </w:tc>
        <w:tc>
          <w:tcPr>
            <w:tcW w:w="17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ind w:firstLine="72"/>
              <w:jc w:val="center"/>
              <w:rPr>
                <w:rFonts w:ascii="Times New Roman" w:hAnsi="Times New Roman"/>
                <w:sz w:val="24"/>
                <w:szCs w:val="24"/>
                <w:lang w:val="en-US" w:eastAsia="en-US"/>
              </w:rPr>
            </w:pPr>
            <w:r>
              <w:rPr>
                <w:rFonts w:ascii="Times New Roman" w:hAnsi="Times New Roman"/>
                <w:sz w:val="24"/>
                <w:szCs w:val="24"/>
              </w:rPr>
              <w:t>В процентах от категории</w:t>
            </w:r>
          </w:p>
        </w:tc>
      </w:tr>
      <w:tr>
        <w:trPr>
          <w:trHeight w:val="284" w:hRule="exact"/>
        </w:trPr>
        <w:tc>
          <w:tcPr>
            <w:tcW w:w="7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1</w:t>
            </w:r>
          </w:p>
        </w:tc>
        <w:tc>
          <w:tcPr>
            <w:tcW w:w="46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rPr>
              <w:t>Сельскохозяйственные угодья</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38,1</w:t>
            </w:r>
          </w:p>
        </w:tc>
        <w:tc>
          <w:tcPr>
            <w:tcW w:w="17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0,3%</w:t>
            </w:r>
          </w:p>
        </w:tc>
      </w:tr>
      <w:tr>
        <w:trPr>
          <w:trHeight w:val="284" w:hRule="exact"/>
        </w:trPr>
        <w:tc>
          <w:tcPr>
            <w:tcW w:w="7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2</w:t>
            </w:r>
          </w:p>
        </w:tc>
        <w:tc>
          <w:tcPr>
            <w:tcW w:w="46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rPr>
              <w:t>Лесные земли</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11772</w:t>
            </w:r>
          </w:p>
        </w:tc>
        <w:tc>
          <w:tcPr>
            <w:tcW w:w="17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96,9%</w:t>
            </w:r>
          </w:p>
        </w:tc>
      </w:tr>
      <w:tr>
        <w:trPr>
          <w:trHeight w:val="605" w:hRule="exact"/>
        </w:trPr>
        <w:tc>
          <w:tcPr>
            <w:tcW w:w="7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lang w:val="en-US" w:eastAsia="en-US"/>
              </w:rPr>
            </w:pPr>
            <w:r>
              <w:rPr>
                <w:rFonts w:ascii="Times New Roman" w:hAnsi="Times New Roman"/>
                <w:sz w:val="24"/>
                <w:szCs w:val="24"/>
              </w:rPr>
              <w:t>3</w:t>
            </w:r>
          </w:p>
        </w:tc>
        <w:tc>
          <w:tcPr>
            <w:tcW w:w="46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ind w:firstLine="72"/>
              <w:contextualSpacing/>
              <w:rPr>
                <w:rFonts w:ascii="Times New Roman" w:hAnsi="Times New Roman"/>
                <w:sz w:val="24"/>
                <w:szCs w:val="24"/>
                <w:lang w:eastAsia="en-US"/>
              </w:rPr>
            </w:pPr>
            <w:r>
              <w:rPr>
                <w:rFonts w:ascii="Times New Roman" w:hAnsi="Times New Roman"/>
                <w:sz w:val="24"/>
                <w:szCs w:val="24"/>
              </w:rPr>
              <w:t>Земли под древесно-кустарниковой растительность</w:t>
            </w:r>
          </w:p>
          <w:p>
            <w:pPr>
              <w:pStyle w:val="Normal"/>
              <w:widowControl w:val="false"/>
              <w:spacing w:lineRule="auto" w:line="240" w:before="0" w:after="200"/>
              <w:ind w:firstLine="72"/>
              <w:contextualSpacing/>
              <w:rPr>
                <w:rFonts w:ascii="Times New Roman" w:hAnsi="Times New Roman"/>
                <w:sz w:val="24"/>
                <w:szCs w:val="24"/>
                <w:lang w:eastAsia="en-US"/>
              </w:rPr>
            </w:pPr>
            <w:r>
              <w:rPr>
                <w:rFonts w:ascii="Times New Roman" w:hAnsi="Times New Roman"/>
                <w:sz w:val="24"/>
                <w:szCs w:val="24"/>
              </w:rPr>
              <w:t>растительностью</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sz w:val="24"/>
                <w:szCs w:val="24"/>
                <w:lang w:eastAsia="en-US"/>
              </w:rPr>
            </w:pPr>
            <w:r>
              <w:rPr>
                <w:rFonts w:ascii="Times New Roman" w:hAnsi="Times New Roman"/>
                <w:sz w:val="24"/>
                <w:szCs w:val="24"/>
                <w:lang w:eastAsia="en-US"/>
              </w:rPr>
              <w:t>38,9</w:t>
            </w:r>
          </w:p>
        </w:tc>
        <w:tc>
          <w:tcPr>
            <w:tcW w:w="17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ind w:firstLine="72"/>
              <w:contextualSpacing/>
              <w:jc w:val="center"/>
              <w:rPr>
                <w:rFonts w:ascii="Times New Roman" w:hAnsi="Times New Roman"/>
                <w:sz w:val="24"/>
                <w:szCs w:val="24"/>
                <w:lang w:eastAsia="en-US"/>
              </w:rPr>
            </w:pPr>
            <w:r>
              <w:rPr>
                <w:rFonts w:ascii="Times New Roman" w:hAnsi="Times New Roman"/>
                <w:sz w:val="24"/>
                <w:szCs w:val="24"/>
                <w:lang w:eastAsia="en-US"/>
              </w:rPr>
              <w:t>0,3%</w:t>
            </w:r>
          </w:p>
        </w:tc>
      </w:tr>
      <w:tr>
        <w:trPr>
          <w:trHeight w:val="284" w:hRule="exact"/>
        </w:trPr>
        <w:tc>
          <w:tcPr>
            <w:tcW w:w="7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4</w:t>
            </w:r>
          </w:p>
        </w:tc>
        <w:tc>
          <w:tcPr>
            <w:tcW w:w="46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rPr>
              <w:t>Земли под водными объектами</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35,7</w:t>
            </w:r>
          </w:p>
        </w:tc>
        <w:tc>
          <w:tcPr>
            <w:tcW w:w="17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0,3%</w:t>
            </w:r>
          </w:p>
        </w:tc>
      </w:tr>
      <w:tr>
        <w:trPr>
          <w:trHeight w:val="284" w:hRule="exact"/>
        </w:trPr>
        <w:tc>
          <w:tcPr>
            <w:tcW w:w="7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5</w:t>
            </w:r>
          </w:p>
        </w:tc>
        <w:tc>
          <w:tcPr>
            <w:tcW w:w="46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ind w:firstLine="72"/>
              <w:rPr>
                <w:rFonts w:ascii="Times New Roman" w:hAnsi="Times New Roman"/>
                <w:sz w:val="24"/>
                <w:szCs w:val="24"/>
                <w:lang w:val="en-US" w:eastAsia="en-US"/>
              </w:rPr>
            </w:pPr>
            <w:r>
              <w:rPr>
                <w:rFonts w:ascii="Times New Roman" w:hAnsi="Times New Roman"/>
                <w:sz w:val="24"/>
                <w:szCs w:val="24"/>
              </w:rPr>
              <w:t>Земли под застройкой</w:t>
            </w:r>
          </w:p>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lang w:val="en-US" w:eastAsia="en-US"/>
              </w:rPr>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5,2</w:t>
            </w:r>
          </w:p>
        </w:tc>
        <w:tc>
          <w:tcPr>
            <w:tcW w:w="17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0,03%</w:t>
            </w:r>
          </w:p>
        </w:tc>
      </w:tr>
      <w:tr>
        <w:trPr>
          <w:trHeight w:val="284" w:hRule="exact"/>
        </w:trPr>
        <w:tc>
          <w:tcPr>
            <w:tcW w:w="7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6</w:t>
            </w:r>
          </w:p>
        </w:tc>
        <w:tc>
          <w:tcPr>
            <w:tcW w:w="46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rPr>
              <w:t>Земли под дорогами</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21,9</w:t>
            </w:r>
          </w:p>
        </w:tc>
        <w:tc>
          <w:tcPr>
            <w:tcW w:w="17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0,2%</w:t>
            </w:r>
          </w:p>
        </w:tc>
      </w:tr>
      <w:tr>
        <w:trPr>
          <w:trHeight w:val="284" w:hRule="exact"/>
        </w:trPr>
        <w:tc>
          <w:tcPr>
            <w:tcW w:w="7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7</w:t>
            </w:r>
          </w:p>
        </w:tc>
        <w:tc>
          <w:tcPr>
            <w:tcW w:w="46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sz w:val="24"/>
                <w:szCs w:val="24"/>
              </w:rPr>
            </w:pPr>
            <w:r>
              <w:rPr>
                <w:rFonts w:ascii="Times New Roman" w:hAnsi="Times New Roman"/>
                <w:sz w:val="24"/>
                <w:szCs w:val="24"/>
              </w:rPr>
              <w:t>Болота</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133,7</w:t>
            </w:r>
          </w:p>
        </w:tc>
        <w:tc>
          <w:tcPr>
            <w:tcW w:w="17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1,1%</w:t>
            </w:r>
          </w:p>
        </w:tc>
      </w:tr>
      <w:tr>
        <w:trPr>
          <w:trHeight w:val="284" w:hRule="exact"/>
        </w:trPr>
        <w:tc>
          <w:tcPr>
            <w:tcW w:w="7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8</w:t>
            </w:r>
          </w:p>
        </w:tc>
        <w:tc>
          <w:tcPr>
            <w:tcW w:w="46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rPr>
              <w:t>Нарушенные земли</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1,3</w:t>
            </w:r>
          </w:p>
        </w:tc>
        <w:tc>
          <w:tcPr>
            <w:tcW w:w="17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0,01%</w:t>
            </w:r>
          </w:p>
        </w:tc>
      </w:tr>
      <w:tr>
        <w:trPr>
          <w:trHeight w:val="284" w:hRule="exact"/>
        </w:trPr>
        <w:tc>
          <w:tcPr>
            <w:tcW w:w="7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4"/>
                <w:szCs w:val="24"/>
              </w:rPr>
            </w:pPr>
            <w:r>
              <w:rPr>
                <w:rFonts w:ascii="Times New Roman" w:hAnsi="Times New Roman"/>
                <w:sz w:val="24"/>
                <w:szCs w:val="24"/>
              </w:rPr>
              <w:t>9</w:t>
            </w:r>
          </w:p>
        </w:tc>
        <w:tc>
          <w:tcPr>
            <w:tcW w:w="46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sz w:val="24"/>
                <w:szCs w:val="24"/>
                <w:lang w:val="en-US" w:eastAsia="en-US"/>
              </w:rPr>
            </w:pPr>
            <w:r>
              <w:rPr>
                <w:rFonts w:ascii="Times New Roman" w:hAnsi="Times New Roman"/>
                <w:sz w:val="24"/>
                <w:szCs w:val="24"/>
              </w:rPr>
              <w:t>Прочие земли</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sz w:val="24"/>
                <w:szCs w:val="24"/>
                <w:lang w:eastAsia="en-US"/>
              </w:rPr>
            </w:pPr>
            <w:r>
              <w:rPr>
                <w:rFonts w:ascii="Times New Roman" w:hAnsi="Times New Roman"/>
                <w:sz w:val="24"/>
                <w:szCs w:val="24"/>
                <w:lang w:eastAsia="en-US"/>
              </w:rPr>
              <w:t>104,1</w:t>
            </w:r>
          </w:p>
        </w:tc>
        <w:tc>
          <w:tcPr>
            <w:tcW w:w="17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sz w:val="24"/>
                <w:szCs w:val="24"/>
                <w:lang w:eastAsia="en-US"/>
              </w:rPr>
            </w:pPr>
            <w:r>
              <w:rPr>
                <w:rFonts w:ascii="Times New Roman" w:hAnsi="Times New Roman"/>
                <w:sz w:val="24"/>
                <w:szCs w:val="24"/>
                <w:lang w:eastAsia="en-US"/>
              </w:rPr>
              <w:t>0,86%</w:t>
            </w:r>
          </w:p>
        </w:tc>
      </w:tr>
      <w:tr>
        <w:trPr>
          <w:trHeight w:val="284" w:hRule="exact"/>
        </w:trPr>
        <w:tc>
          <w:tcPr>
            <w:tcW w:w="7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b/>
                <w:b/>
                <w:sz w:val="24"/>
                <w:szCs w:val="24"/>
              </w:rPr>
            </w:pPr>
            <w:r>
              <w:rPr>
                <w:rFonts w:ascii="Times New Roman" w:hAnsi="Times New Roman"/>
                <w:b/>
                <w:sz w:val="24"/>
                <w:szCs w:val="24"/>
              </w:rPr>
            </w:r>
          </w:p>
        </w:tc>
        <w:tc>
          <w:tcPr>
            <w:tcW w:w="46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ind w:firstLine="72"/>
              <w:rPr>
                <w:rFonts w:ascii="Times New Roman" w:hAnsi="Times New Roman"/>
                <w:b/>
                <w:b/>
                <w:sz w:val="24"/>
                <w:szCs w:val="24"/>
              </w:rPr>
            </w:pPr>
            <w:r>
              <w:rPr>
                <w:rFonts w:ascii="Times New Roman" w:hAnsi="Times New Roman"/>
                <w:b/>
                <w:sz w:val="24"/>
                <w:szCs w:val="24"/>
              </w:rPr>
              <w:t>Итого</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b/>
                <w:b/>
                <w:sz w:val="24"/>
                <w:szCs w:val="24"/>
                <w:lang w:eastAsia="en-US"/>
              </w:rPr>
            </w:pPr>
            <w:r>
              <w:rPr>
                <w:rFonts w:ascii="Times New Roman" w:hAnsi="Times New Roman"/>
                <w:b/>
                <w:sz w:val="24"/>
                <w:szCs w:val="24"/>
                <w:lang w:eastAsia="en-US"/>
              </w:rPr>
              <w:t>12150,9</w:t>
            </w:r>
          </w:p>
        </w:tc>
        <w:tc>
          <w:tcPr>
            <w:tcW w:w="17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b/>
                <w:b/>
                <w:sz w:val="24"/>
                <w:szCs w:val="24"/>
                <w:lang w:eastAsia="en-US"/>
              </w:rPr>
            </w:pPr>
            <w:r>
              <w:rPr>
                <w:rFonts w:ascii="Times New Roman" w:hAnsi="Times New Roman"/>
                <w:b/>
                <w:sz w:val="24"/>
                <w:szCs w:val="24"/>
                <w:lang w:eastAsia="en-US"/>
              </w:rPr>
              <w:t>100%</w:t>
            </w:r>
          </w:p>
        </w:tc>
      </w:tr>
    </w:tbl>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Сельскохозяйственные угодья в составе лесного фонда представлены мелкими, вкрапленными среди леса, контурами, используемыми под огороды, сенокошение и выпас скота.</w:t>
      </w:r>
    </w:p>
    <w:p>
      <w:pPr>
        <w:pStyle w:val="NormalWeb"/>
        <w:spacing w:before="240" w:after="200"/>
        <w:jc w:val="center"/>
        <w:rPr>
          <w:rFonts w:ascii="Times New Roman" w:hAnsi="Times New Roman" w:cs="Times New Roman"/>
          <w:b/>
          <w:b/>
          <w:sz w:val="28"/>
          <w:szCs w:val="28"/>
          <w:lang w:val="ru-RU"/>
        </w:rPr>
      </w:pPr>
      <w:bookmarkStart w:id="160" w:name="_Toc96823391"/>
      <w:bookmarkStart w:id="161" w:name="_Toc97106165"/>
      <w:bookmarkStart w:id="162" w:name="_Toc65489222"/>
      <w:bookmarkStart w:id="163" w:name="_Toc34560178"/>
      <w:bookmarkStart w:id="164" w:name="_Toc34560088"/>
      <w:bookmarkStart w:id="165" w:name="_Toc34560040"/>
      <w:bookmarkStart w:id="166" w:name="_Toc34559188"/>
      <w:bookmarkStart w:id="167" w:name="_Toc34559011"/>
      <w:bookmarkStart w:id="168" w:name="_Toc34558211"/>
      <w:bookmarkStart w:id="169" w:name="_Toc34212840"/>
      <w:bookmarkStart w:id="170" w:name="_Toc256850165"/>
      <w:bookmarkStart w:id="171" w:name="_Toc130628064"/>
      <w:r>
        <w:rPr>
          <w:rFonts w:cs="Times New Roman" w:ascii="Times New Roman" w:hAnsi="Times New Roman"/>
          <w:b/>
          <w:sz w:val="28"/>
          <w:szCs w:val="28"/>
          <w:lang w:val="ru-RU"/>
        </w:rPr>
        <w:t>1.1.6. Земли водного фонда</w:t>
      </w:r>
      <w:bookmarkEnd w:id="160"/>
      <w:bookmarkEnd w:id="161"/>
      <w:bookmarkEnd w:id="162"/>
      <w:bookmarkEnd w:id="163"/>
      <w:bookmarkEnd w:id="164"/>
      <w:bookmarkEnd w:id="165"/>
      <w:bookmarkEnd w:id="166"/>
      <w:bookmarkEnd w:id="167"/>
      <w:bookmarkEnd w:id="168"/>
      <w:bookmarkEnd w:id="169"/>
      <w:bookmarkEnd w:id="170"/>
      <w:bookmarkEnd w:id="171"/>
    </w:p>
    <w:p>
      <w:pPr>
        <w:pStyle w:val="Normal"/>
        <w:spacing w:before="0" w:after="0"/>
        <w:rPr>
          <w:rFonts w:ascii="Cambria" w:hAnsi="Cambria" w:cs="" w:asciiTheme="majorHAnsi" w:cstheme="majorBidi" w:hAnsiTheme="majorHAnsi"/>
          <w:sz w:val="24"/>
          <w:szCs w:val="24"/>
        </w:rPr>
      </w:pPr>
      <w:r>
        <w:rPr>
          <w:rFonts w:cs="" w:cstheme="majorBidi" w:ascii="Cambria" w:hAnsi="Cambria"/>
          <w:sz w:val="24"/>
          <w:szCs w:val="24"/>
        </w:rPr>
        <mc:AlternateContent>
          <mc:Choice Requires="wps">
            <w:drawing>
              <wp:anchor behindDoc="0" distT="0" distB="0" distL="90170" distR="121920" simplePos="0" locked="0" layoutInCell="0" allowOverlap="1" relativeHeight="11" wp14:anchorId="2A169D28">
                <wp:simplePos x="0" y="0"/>
                <wp:positionH relativeFrom="column">
                  <wp:posOffset>44450</wp:posOffset>
                </wp:positionH>
                <wp:positionV relativeFrom="paragraph">
                  <wp:posOffset>164465</wp:posOffset>
                </wp:positionV>
                <wp:extent cx="2333625" cy="1534795"/>
                <wp:effectExtent l="24130" t="24130" r="77470" b="77470"/>
                <wp:wrapSquare wrapText="bothSides"/>
                <wp:docPr id="15" name="Рисунок 12" descr="водный фонд"/>
                <a:graphic xmlns:a="http://schemas.openxmlformats.org/drawingml/2006/main">
                  <a:graphicData uri="http://schemas.openxmlformats.org/drawingml/2006/picture">
                    <pic:pic xmlns:pic="http://schemas.openxmlformats.org/drawingml/2006/picture">
                      <pic:nvPicPr>
                        <pic:cNvPr id="4" name="Рисунок 12" descr="водный фонд"/>
                        <pic:cNvPicPr/>
                      </pic:nvPicPr>
                      <pic:blipFill>
                        <a:blip r:embed="rId66"/>
                        <a:stretch/>
                      </pic:blipFill>
                      <pic:spPr>
                        <a:xfrm>
                          <a:off x="0" y="0"/>
                          <a:ext cx="2333520" cy="1534680"/>
                        </a:xfrm>
                        <a:prstGeom prst="rect">
                          <a:avLst/>
                        </a:prstGeom>
                        <a:ln w="9525">
                          <a:noFill/>
                        </a:ln>
                        <a:effectLst>
                          <a:outerShdw algn="tl" blurRad="50760" dir="2700000" dist="37674" rotWithShape="0">
                            <a:srgbClr val="000000">
                              <a:alpha val="40000"/>
                            </a:srgbClr>
                          </a:outerShdw>
                        </a:effectLst>
                      </pic:spPr>
                    </pic:pic>
                  </a:graphicData>
                </a:graphic>
              </wp:anchor>
            </w:drawing>
          </mc:Choice>
          <mc:Fallback>
            <w:pict>
              <v:shape id="shape_0" ID="Рисунок 12" stroked="f" o:allowincell="f" style="position:absolute;margin-left:3.5pt;margin-top:12.95pt;width:183.7pt;height:120.8pt;mso-wrap-style:none;v-text-anchor:middle" wp14:anchorId="2A169D28" type="_x0000_t75">
                <v:imagedata r:id="rId66" o:detectmouseclick="t"/>
                <v:stroke color="#3465a4" weight="9360" joinstyle="miter" endcap="flat"/>
                <w10:wrap type="square"/>
              </v:shape>
            </w:pict>
          </mc:Fallback>
        </mc:AlternateContent>
      </w:r>
    </w:p>
    <w:p>
      <w:pPr>
        <w:pStyle w:val="NormalWeb"/>
        <w:spacing w:lineRule="auto" w:line="240" w:before="0" w:after="200"/>
        <w:ind w:firstLine="709"/>
        <w:contextualSpacing/>
        <w:jc w:val="both"/>
        <w:rPr>
          <w:rFonts w:ascii="Times New Roman" w:hAnsi="Times New Roman"/>
          <w:sz w:val="28"/>
          <w:szCs w:val="28"/>
          <w:lang w:val="ru-RU"/>
        </w:rPr>
      </w:pPr>
      <w:bookmarkStart w:id="172" w:name="_Toc256850166"/>
      <w:bookmarkStart w:id="173" w:name="_Toc34212841"/>
      <w:bookmarkStart w:id="174" w:name="_Toc34558212"/>
      <w:bookmarkStart w:id="175" w:name="_Toc34559012"/>
      <w:bookmarkStart w:id="176" w:name="_Toc34559189"/>
      <w:bookmarkStart w:id="177" w:name="_Toc34560041"/>
      <w:bookmarkStart w:id="178" w:name="_Toc34560089"/>
      <w:bookmarkStart w:id="179" w:name="_Toc34560179"/>
      <w:bookmarkStart w:id="180" w:name="_Toc65489223"/>
      <w:bookmarkStart w:id="181" w:name="_Toc96823392"/>
      <w:bookmarkStart w:id="182" w:name="_Toc97106166"/>
      <w:bookmarkStart w:id="183" w:name="_Toc130628065"/>
      <w:r>
        <w:rPr>
          <w:rFonts w:ascii="Times New Roman" w:hAnsi="Times New Roman"/>
          <w:sz w:val="28"/>
          <w:szCs w:val="28"/>
          <w:lang w:val="ru-RU"/>
        </w:rPr>
        <w:t xml:space="preserve">Земельным кодексом Российской Федерации установлено, что к землям водного фонда относятся земли, занятые водными объектами, землями водоохранных зон водных объектов, а также земли, выделяемые для установления полос отвода и зон охраны водозаборов, гидротехнических сооружений и иных водохозяйственных сооружений, объектов.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По состоянию на 1 января 2017 года площадь категории земель водного фонда составила 323,2 тыс. га (2,0% от земельного фонда края). Земли водного фонда – это водопокрытые земли, занятые поверхностными водными объектами. Эта территория не закреплена за землепользователями, землевладельцами и собственниками, и структурных изменений в последние годы не претерпела. В настоящее время значительные площади земель, подлежащих отнесению к категории земель водного фонда, включены в состав других категорий (таблица</w:t>
      </w:r>
      <w:r>
        <w:rPr>
          <w:rFonts w:ascii="Times New Roman" w:hAnsi="Times New Roman"/>
          <w:sz w:val="28"/>
          <w:szCs w:val="28"/>
        </w:rPr>
        <w:t> </w:t>
      </w:r>
      <w:r>
        <w:rPr>
          <w:rFonts w:ascii="Times New Roman" w:hAnsi="Times New Roman"/>
          <w:sz w:val="28"/>
          <w:szCs w:val="28"/>
          <w:lang w:val="ru-RU"/>
        </w:rPr>
        <w:t>6).</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В Приморском крае протекает около 65000 рек, ручьев и временных водотоков, общей протяженностью более 150 тыс. км. Основную массу рек составляют водотоки, протяженностью менее 25 км. Количество малых рек (протяженностью 26-100 км.) на территории края – 360, средних (100-300 км.) – 29, крупных (300-700 км.) – 3.</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Общее количество озер в Приморье около 5 тыс., в том числе и озеро Ханка, 2/3 площади которого расположено на территории края. В Приморском крае имеется 121 водохранилище различного целевого назначения, включенных (подлежащих включению) в водный реестр.</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Земли под водой (без болот) в целом по краю занимают 424,6 тыс. га. Из них 323,2 тыс. га (76,1</w:t>
      </w:r>
      <w:r>
        <w:rPr>
          <w:rFonts w:ascii="Times New Roman" w:hAnsi="Times New Roman"/>
          <w:sz w:val="28"/>
          <w:szCs w:val="28"/>
        </w:rPr>
        <w:t> </w:t>
      </w:r>
      <w:r>
        <w:rPr>
          <w:rFonts w:ascii="Times New Roman" w:hAnsi="Times New Roman"/>
          <w:sz w:val="28"/>
          <w:szCs w:val="28"/>
          <w:lang w:val="ru-RU"/>
        </w:rPr>
        <w:t>%) включены в состав земель водного фонда. Большие площади земель, подлежащих отнесению к категории земель водного фонда, включены в состав других категорий. Значительная их доля приходится на лесной фонд и земли сельскохозяйственного назначения.</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В отчетном году работы по переводу земель под поверхностными водными объектами из других категорий в водный фонд, в целях приведения структуры земель водного фонда в соответствие с требованиями действующего законодательства, в крае не проводились.</w:t>
      </w:r>
    </w:p>
    <w:p>
      <w:pPr>
        <w:pStyle w:val="NormalWeb"/>
        <w:spacing w:lineRule="auto" w:line="240" w:before="0" w:after="0"/>
        <w:ind w:firstLine="709"/>
        <w:contextualSpacing/>
        <w:jc w:val="both"/>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Web"/>
        <w:spacing w:lineRule="auto" w:line="240" w:before="0" w:after="0"/>
        <w:ind w:firstLine="709"/>
        <w:contextualSpacing/>
        <w:jc w:val="both"/>
        <w:rPr>
          <w:rFonts w:ascii="Times New Roman" w:hAnsi="Times New Roman" w:cs="Times New Roman"/>
          <w:b/>
          <w:b/>
          <w:sz w:val="24"/>
          <w:szCs w:val="24"/>
          <w:lang w:val="ru-RU"/>
        </w:rPr>
      </w:pPr>
      <w:r>
        <w:rPr>
          <w:rFonts w:cs="Times New Roman" w:ascii="Times New Roman" w:hAnsi="Times New Roman"/>
          <w:b/>
          <w:sz w:val="24"/>
          <w:szCs w:val="24"/>
          <w:lang w:val="ru-RU"/>
        </w:rPr>
        <w:t>Земли под водой в различных категориях земель Приморского края</w:t>
      </w:r>
    </w:p>
    <w:p>
      <w:pPr>
        <w:pStyle w:val="Normal"/>
        <w:spacing w:lineRule="auto" w:line="240" w:before="0" w:after="0"/>
        <w:contextualSpacing/>
        <w:jc w:val="center"/>
        <w:rPr>
          <w:rFonts w:ascii="Times New Roman" w:hAnsi="Times New Roman" w:cs="Times New Roman"/>
          <w:b/>
          <w:b/>
        </w:rPr>
      </w:pPr>
      <w:r>
        <w:rPr>
          <w:rFonts w:cs="Times New Roman" w:ascii="Times New Roman" w:hAnsi="Times New Roman"/>
          <w:b/>
          <w:sz w:val="24"/>
          <w:szCs w:val="24"/>
        </w:rPr>
        <w:t>по состоянию на 01.01.2017</w:t>
      </w:r>
    </w:p>
    <w:p>
      <w:pPr>
        <w:pStyle w:val="Normal"/>
        <w:spacing w:before="0" w:after="0"/>
        <w:ind w:right="138" w:hanging="0"/>
        <w:contextualSpacing/>
        <w:jc w:val="right"/>
        <w:rPr>
          <w:rFonts w:ascii="Times New Roman" w:hAnsi="Times New Roman" w:cs="Times New Roman"/>
          <w:sz w:val="24"/>
          <w:szCs w:val="24"/>
        </w:rPr>
      </w:pPr>
      <w:r>
        <w:rPr>
          <w:rFonts w:cs="Times New Roman" w:ascii="Times New Roman" w:hAnsi="Times New Roman"/>
          <w:sz w:val="24"/>
          <w:szCs w:val="24"/>
        </w:rPr>
        <w:t>Таблица 6</w:t>
      </w:r>
    </w:p>
    <w:tbl>
      <w:tblPr>
        <w:tblW w:w="9405" w:type="dxa"/>
        <w:jc w:val="center"/>
        <w:tblInd w:w="0" w:type="dxa"/>
        <w:tblLayout w:type="fixed"/>
        <w:tblCellMar>
          <w:top w:w="0" w:type="dxa"/>
          <w:left w:w="108" w:type="dxa"/>
          <w:bottom w:w="0" w:type="dxa"/>
          <w:right w:w="108" w:type="dxa"/>
        </w:tblCellMar>
        <w:tblLook w:val="00a0" w:noHBand="0" w:noVBand="0" w:firstColumn="1" w:lastRow="0" w:lastColumn="0" w:firstRow="1"/>
      </w:tblPr>
      <w:tblGrid>
        <w:gridCol w:w="718"/>
        <w:gridCol w:w="5430"/>
        <w:gridCol w:w="1201"/>
        <w:gridCol w:w="2055"/>
      </w:tblGrid>
      <w:tr>
        <w:trPr>
          <w:trHeight w:val="834" w:hRule="exact"/>
        </w:trPr>
        <w:tc>
          <w:tcPr>
            <w:tcW w:w="7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lang w:val="en-US" w:eastAsia="en-US"/>
              </w:rPr>
            </w:pPr>
            <w:r>
              <w:rPr>
                <w:rFonts w:ascii="Times New Roman" w:hAnsi="Times New Roman"/>
              </w:rPr>
              <w:t xml:space="preserve">№ </w:t>
            </w:r>
            <w:r>
              <w:rPr>
                <w:rFonts w:ascii="Times New Roman" w:hAnsi="Times New Roman"/>
              </w:rPr>
              <w:t>п/п</w:t>
            </w:r>
          </w:p>
        </w:tc>
        <w:tc>
          <w:tcPr>
            <w:tcW w:w="5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23"/>
              <w:jc w:val="center"/>
              <w:rPr>
                <w:rFonts w:ascii="Times New Roman" w:hAnsi="Times New Roman"/>
                <w:lang w:val="en-US" w:eastAsia="en-US"/>
              </w:rPr>
            </w:pPr>
            <w:r>
              <w:rPr>
                <w:rFonts w:ascii="Times New Roman" w:hAnsi="Times New Roman"/>
              </w:rPr>
              <w:t>Категории земель</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lang w:val="en-US" w:eastAsia="en-US"/>
              </w:rPr>
            </w:pPr>
            <w:r>
              <w:rPr>
                <w:rFonts w:ascii="Times New Roman" w:hAnsi="Times New Roman"/>
              </w:rPr>
              <w:t>Площадь (тыс. га)</w:t>
            </w:r>
          </w:p>
        </w:tc>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firstLine="72"/>
              <w:jc w:val="center"/>
              <w:rPr>
                <w:rFonts w:ascii="Times New Roman" w:hAnsi="Times New Roman"/>
                <w:lang w:eastAsia="en-US"/>
              </w:rPr>
            </w:pPr>
            <w:r>
              <w:rPr>
                <w:rFonts w:ascii="Times New Roman" w:hAnsi="Times New Roman"/>
              </w:rPr>
              <w:t>В процентах от общей площади земель под водой</w:t>
            </w:r>
          </w:p>
        </w:tc>
      </w:tr>
      <w:tr>
        <w:trPr>
          <w:trHeight w:val="284" w:hRule="exact"/>
        </w:trPr>
        <w:tc>
          <w:tcPr>
            <w:tcW w:w="7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lang w:val="en-US" w:eastAsia="en-US"/>
              </w:rPr>
            </w:pPr>
            <w:r>
              <w:rPr>
                <w:rFonts w:ascii="Times New Roman" w:hAnsi="Times New Roman"/>
              </w:rPr>
              <w:t>1</w:t>
            </w:r>
          </w:p>
        </w:tc>
        <w:tc>
          <w:tcPr>
            <w:tcW w:w="543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rPr>
                <w:rFonts w:ascii="Times New Roman" w:hAnsi="Times New Roman"/>
                <w:lang w:val="en-US" w:eastAsia="en-US"/>
              </w:rPr>
            </w:pPr>
            <w:r>
              <w:rPr>
                <w:rFonts w:ascii="Times New Roman" w:hAnsi="Times New Roman"/>
              </w:rPr>
              <w:t>Земли сельскохозяйственного назначения</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42" w:hanging="0"/>
              <w:jc w:val="center"/>
              <w:rPr>
                <w:rFonts w:ascii="Times New Roman" w:hAnsi="Times New Roman"/>
                <w:lang w:eastAsia="en-US"/>
              </w:rPr>
            </w:pPr>
            <w:r>
              <w:rPr>
                <w:rFonts w:ascii="Times New Roman" w:hAnsi="Times New Roman"/>
                <w:lang w:eastAsia="en-US"/>
              </w:rPr>
              <w:t>34,2</w:t>
            </w:r>
          </w:p>
        </w:tc>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42" w:firstLine="72"/>
              <w:jc w:val="center"/>
              <w:rPr>
                <w:rFonts w:ascii="Times New Roman" w:hAnsi="Times New Roman"/>
                <w:lang w:eastAsia="en-US"/>
              </w:rPr>
            </w:pPr>
            <w:r>
              <w:rPr>
                <w:rFonts w:ascii="Times New Roman" w:hAnsi="Times New Roman"/>
                <w:lang w:eastAsia="en-US"/>
              </w:rPr>
              <w:t>8,1%</w:t>
            </w:r>
          </w:p>
        </w:tc>
      </w:tr>
      <w:tr>
        <w:trPr>
          <w:trHeight w:val="284" w:hRule="exact"/>
        </w:trPr>
        <w:tc>
          <w:tcPr>
            <w:tcW w:w="7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lang w:val="en-US" w:eastAsia="en-US"/>
              </w:rPr>
            </w:pPr>
            <w:r>
              <w:rPr>
                <w:rFonts w:ascii="Times New Roman" w:hAnsi="Times New Roman"/>
              </w:rPr>
              <w:t>2</w:t>
            </w:r>
          </w:p>
        </w:tc>
        <w:tc>
          <w:tcPr>
            <w:tcW w:w="543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rPr>
                <w:rFonts w:ascii="Times New Roman" w:hAnsi="Times New Roman"/>
                <w:lang w:val="en-US" w:eastAsia="en-US"/>
              </w:rPr>
            </w:pPr>
            <w:r>
              <w:rPr>
                <w:rFonts w:ascii="Times New Roman" w:hAnsi="Times New Roman"/>
              </w:rPr>
              <w:t>Земли населенных пунктов</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42" w:hanging="0"/>
              <w:jc w:val="center"/>
              <w:rPr>
                <w:rFonts w:ascii="Times New Roman" w:hAnsi="Times New Roman"/>
                <w:lang w:eastAsia="en-US"/>
              </w:rPr>
            </w:pPr>
            <w:r>
              <w:rPr>
                <w:rFonts w:ascii="Times New Roman" w:hAnsi="Times New Roman"/>
                <w:lang w:eastAsia="en-US"/>
              </w:rPr>
              <w:t>2,7</w:t>
            </w:r>
          </w:p>
        </w:tc>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42" w:firstLine="72"/>
              <w:jc w:val="center"/>
              <w:rPr>
                <w:rFonts w:ascii="Times New Roman" w:hAnsi="Times New Roman"/>
                <w:lang w:eastAsia="en-US"/>
              </w:rPr>
            </w:pPr>
            <w:r>
              <w:rPr>
                <w:rFonts w:ascii="Times New Roman" w:hAnsi="Times New Roman"/>
                <w:lang w:eastAsia="en-US"/>
              </w:rPr>
              <w:t>0,6%</w:t>
            </w:r>
          </w:p>
        </w:tc>
      </w:tr>
      <w:tr>
        <w:trPr>
          <w:trHeight w:val="20" w:hRule="atLeast"/>
        </w:trPr>
        <w:tc>
          <w:tcPr>
            <w:tcW w:w="7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lang w:val="en-US" w:eastAsia="en-US"/>
              </w:rPr>
            </w:pPr>
            <w:r>
              <w:rPr>
                <w:rFonts w:ascii="Times New Roman" w:hAnsi="Times New Roman"/>
              </w:rPr>
              <w:t>3</w:t>
            </w:r>
          </w:p>
        </w:tc>
        <w:tc>
          <w:tcPr>
            <w:tcW w:w="543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lang w:eastAsia="en-US"/>
              </w:rPr>
            </w:pPr>
            <w:r>
              <w:rPr>
                <w:rFonts w:ascii="Times New Roman" w:hAnsi="Times New Roman"/>
              </w:rPr>
              <w:t>Земли промышленности, энергетики, транспорта и иного специального назначения</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ind w:right="42" w:hanging="0"/>
              <w:contextualSpacing/>
              <w:jc w:val="center"/>
              <w:rPr>
                <w:rFonts w:ascii="Times New Roman" w:hAnsi="Times New Roman"/>
                <w:lang w:eastAsia="en-US"/>
              </w:rPr>
            </w:pPr>
            <w:r>
              <w:rPr>
                <w:rFonts w:ascii="Times New Roman" w:hAnsi="Times New Roman"/>
                <w:lang w:eastAsia="en-US"/>
              </w:rPr>
              <w:t>4,3</w:t>
            </w:r>
          </w:p>
        </w:tc>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ind w:right="42" w:firstLine="72"/>
              <w:contextualSpacing/>
              <w:jc w:val="center"/>
              <w:rPr>
                <w:rFonts w:ascii="Times New Roman" w:hAnsi="Times New Roman"/>
                <w:lang w:eastAsia="en-US"/>
              </w:rPr>
            </w:pPr>
            <w:r>
              <w:rPr>
                <w:rFonts w:ascii="Times New Roman" w:hAnsi="Times New Roman"/>
                <w:lang w:eastAsia="en-US"/>
              </w:rPr>
              <w:t>1,0%</w:t>
            </w:r>
          </w:p>
        </w:tc>
      </w:tr>
      <w:tr>
        <w:trPr>
          <w:trHeight w:val="284" w:hRule="exact"/>
        </w:trPr>
        <w:tc>
          <w:tcPr>
            <w:tcW w:w="7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lang w:val="en-US" w:eastAsia="en-US"/>
              </w:rPr>
            </w:pPr>
            <w:r>
              <w:rPr>
                <w:rFonts w:ascii="Times New Roman" w:hAnsi="Times New Roman"/>
              </w:rPr>
              <w:t>4</w:t>
            </w:r>
          </w:p>
        </w:tc>
        <w:tc>
          <w:tcPr>
            <w:tcW w:w="543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rPr>
                <w:rFonts w:ascii="Times New Roman" w:hAnsi="Times New Roman"/>
                <w:lang w:eastAsia="en-US"/>
              </w:rPr>
            </w:pPr>
            <w:r>
              <w:rPr>
                <w:rFonts w:ascii="Times New Roman" w:hAnsi="Times New Roman"/>
              </w:rPr>
              <w:t>Земли особо охраняемых территорий и объектов</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42" w:hanging="0"/>
              <w:jc w:val="center"/>
              <w:rPr>
                <w:rFonts w:ascii="Times New Roman" w:hAnsi="Times New Roman"/>
                <w:lang w:eastAsia="en-US"/>
              </w:rPr>
            </w:pPr>
            <w:r>
              <w:rPr>
                <w:rFonts w:ascii="Times New Roman" w:hAnsi="Times New Roman"/>
                <w:lang w:eastAsia="en-US"/>
              </w:rPr>
              <w:t>3,7</w:t>
            </w:r>
          </w:p>
        </w:tc>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42" w:firstLine="72"/>
              <w:jc w:val="center"/>
              <w:rPr>
                <w:rFonts w:ascii="Times New Roman" w:hAnsi="Times New Roman"/>
                <w:lang w:eastAsia="en-US"/>
              </w:rPr>
            </w:pPr>
            <w:r>
              <w:rPr>
                <w:rFonts w:ascii="Times New Roman" w:hAnsi="Times New Roman"/>
                <w:lang w:eastAsia="en-US"/>
              </w:rPr>
              <w:t>0,9%</w:t>
            </w:r>
          </w:p>
        </w:tc>
      </w:tr>
      <w:tr>
        <w:trPr>
          <w:trHeight w:val="284" w:hRule="exact"/>
        </w:trPr>
        <w:tc>
          <w:tcPr>
            <w:tcW w:w="7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lang w:val="en-US" w:eastAsia="en-US"/>
              </w:rPr>
            </w:pPr>
            <w:r>
              <w:rPr>
                <w:rFonts w:ascii="Times New Roman" w:hAnsi="Times New Roman"/>
              </w:rPr>
              <w:t>5</w:t>
            </w:r>
          </w:p>
        </w:tc>
        <w:tc>
          <w:tcPr>
            <w:tcW w:w="5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lang w:val="en-US" w:eastAsia="en-US"/>
              </w:rPr>
            </w:pPr>
            <w:r>
              <w:rPr>
                <w:rFonts w:ascii="Times New Roman" w:hAnsi="Times New Roman"/>
              </w:rPr>
              <w:t>Земли лесного фонда</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42" w:hanging="0"/>
              <w:jc w:val="center"/>
              <w:rPr>
                <w:rFonts w:ascii="Times New Roman" w:hAnsi="Times New Roman"/>
                <w:lang w:eastAsia="en-US"/>
              </w:rPr>
            </w:pPr>
            <w:r>
              <w:rPr>
                <w:rFonts w:ascii="Times New Roman" w:hAnsi="Times New Roman"/>
                <w:lang w:eastAsia="en-US"/>
              </w:rPr>
              <w:t>35,7</w:t>
            </w:r>
          </w:p>
        </w:tc>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42" w:firstLine="72"/>
              <w:jc w:val="center"/>
              <w:rPr>
                <w:rFonts w:ascii="Times New Roman" w:hAnsi="Times New Roman"/>
                <w:lang w:eastAsia="en-US"/>
              </w:rPr>
            </w:pPr>
            <w:r>
              <w:rPr>
                <w:rFonts w:ascii="Times New Roman" w:hAnsi="Times New Roman"/>
                <w:lang w:eastAsia="en-US"/>
              </w:rPr>
              <w:t>8,4%</w:t>
            </w:r>
          </w:p>
        </w:tc>
      </w:tr>
      <w:tr>
        <w:trPr>
          <w:trHeight w:val="284" w:hRule="exact"/>
        </w:trPr>
        <w:tc>
          <w:tcPr>
            <w:tcW w:w="7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lang w:val="en-US" w:eastAsia="en-US"/>
              </w:rPr>
            </w:pPr>
            <w:r>
              <w:rPr>
                <w:rFonts w:ascii="Times New Roman" w:hAnsi="Times New Roman"/>
              </w:rPr>
              <w:t>6</w:t>
            </w:r>
          </w:p>
        </w:tc>
        <w:tc>
          <w:tcPr>
            <w:tcW w:w="543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rPr>
                <w:rFonts w:ascii="Times New Roman" w:hAnsi="Times New Roman"/>
                <w:lang w:val="en-US" w:eastAsia="en-US"/>
              </w:rPr>
            </w:pPr>
            <w:r>
              <w:rPr>
                <w:rFonts w:ascii="Times New Roman" w:hAnsi="Times New Roman"/>
              </w:rPr>
              <w:t>Земли водного фонда</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42" w:hanging="0"/>
              <w:jc w:val="center"/>
              <w:rPr>
                <w:rFonts w:ascii="Times New Roman" w:hAnsi="Times New Roman"/>
                <w:lang w:eastAsia="en-US"/>
              </w:rPr>
            </w:pPr>
            <w:r>
              <w:rPr>
                <w:rFonts w:ascii="Times New Roman" w:hAnsi="Times New Roman"/>
                <w:lang w:eastAsia="en-US"/>
              </w:rPr>
              <w:t>322,2</w:t>
            </w:r>
          </w:p>
        </w:tc>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42" w:firstLine="72"/>
              <w:jc w:val="center"/>
              <w:rPr>
                <w:rFonts w:ascii="Times New Roman" w:hAnsi="Times New Roman"/>
                <w:lang w:eastAsia="en-US"/>
              </w:rPr>
            </w:pPr>
            <w:r>
              <w:rPr>
                <w:rFonts w:ascii="Times New Roman" w:hAnsi="Times New Roman"/>
                <w:lang w:eastAsia="en-US"/>
              </w:rPr>
              <w:t>75,9%</w:t>
            </w:r>
          </w:p>
        </w:tc>
      </w:tr>
      <w:tr>
        <w:trPr>
          <w:trHeight w:val="284" w:hRule="exact"/>
        </w:trPr>
        <w:tc>
          <w:tcPr>
            <w:tcW w:w="7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lang w:val="en-US" w:eastAsia="en-US"/>
              </w:rPr>
            </w:pPr>
            <w:r>
              <w:rPr>
                <w:rFonts w:ascii="Times New Roman" w:hAnsi="Times New Roman"/>
              </w:rPr>
              <w:t>7</w:t>
            </w:r>
          </w:p>
        </w:tc>
        <w:tc>
          <w:tcPr>
            <w:tcW w:w="543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rPr>
                <w:rFonts w:ascii="Times New Roman" w:hAnsi="Times New Roman"/>
                <w:lang w:val="en-US" w:eastAsia="en-US"/>
              </w:rPr>
            </w:pPr>
            <w:r>
              <w:rPr>
                <w:rFonts w:ascii="Times New Roman" w:hAnsi="Times New Roman"/>
              </w:rPr>
              <w:t>Земли запаса</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42" w:hanging="0"/>
              <w:jc w:val="center"/>
              <w:rPr>
                <w:rFonts w:ascii="Times New Roman" w:hAnsi="Times New Roman"/>
                <w:lang w:eastAsia="en-US"/>
              </w:rPr>
            </w:pPr>
            <w:r>
              <w:rPr>
                <w:rFonts w:ascii="Times New Roman" w:hAnsi="Times New Roman"/>
                <w:lang w:eastAsia="en-US"/>
              </w:rPr>
              <w:t>21,8</w:t>
            </w:r>
          </w:p>
        </w:tc>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42" w:firstLine="72"/>
              <w:jc w:val="center"/>
              <w:rPr>
                <w:rFonts w:ascii="Times New Roman" w:hAnsi="Times New Roman"/>
                <w:lang w:eastAsia="en-US"/>
              </w:rPr>
            </w:pPr>
            <w:r>
              <w:rPr>
                <w:rFonts w:ascii="Times New Roman" w:hAnsi="Times New Roman"/>
                <w:lang w:eastAsia="en-US"/>
              </w:rPr>
              <w:t>5,1%</w:t>
            </w:r>
          </w:p>
        </w:tc>
      </w:tr>
      <w:tr>
        <w:trPr>
          <w:trHeight w:val="236" w:hRule="exact"/>
        </w:trPr>
        <w:tc>
          <w:tcPr>
            <w:tcW w:w="7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lang w:val="en-US" w:eastAsia="en-US"/>
              </w:rPr>
            </w:pPr>
            <w:r>
              <w:rPr>
                <w:rFonts w:ascii="Times New Roman" w:hAnsi="Times New Roman"/>
                <w:lang w:val="en-US" w:eastAsia="en-US"/>
              </w:rPr>
            </w:r>
          </w:p>
        </w:tc>
        <w:tc>
          <w:tcPr>
            <w:tcW w:w="543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rPr>
                <w:rFonts w:ascii="Times New Roman" w:hAnsi="Times New Roman"/>
                <w:b/>
                <w:b/>
                <w:bCs/>
                <w:i/>
                <w:i/>
                <w:iCs/>
                <w:lang w:val="en-US" w:eastAsia="en-US"/>
              </w:rPr>
            </w:pPr>
            <w:r>
              <w:rPr>
                <w:rFonts w:ascii="Times New Roman" w:hAnsi="Times New Roman"/>
                <w:b/>
                <w:bCs/>
                <w:i/>
                <w:iCs/>
              </w:rPr>
              <w:t>Итого</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42" w:hanging="0"/>
              <w:jc w:val="center"/>
              <w:rPr>
                <w:rFonts w:ascii="Times New Roman" w:hAnsi="Times New Roman"/>
                <w:b/>
                <w:b/>
                <w:bCs/>
                <w:i/>
                <w:i/>
                <w:iCs/>
                <w:lang w:val="en-US" w:eastAsia="en-US"/>
              </w:rPr>
            </w:pPr>
            <w:r>
              <w:rPr>
                <w:rFonts w:ascii="Times New Roman" w:hAnsi="Times New Roman"/>
                <w:b/>
                <w:bCs/>
                <w:i/>
                <w:iCs/>
              </w:rPr>
              <w:t>424,6</w:t>
            </w:r>
          </w:p>
        </w:tc>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42" w:firstLine="72"/>
              <w:jc w:val="center"/>
              <w:rPr>
                <w:rFonts w:ascii="Times New Roman" w:hAnsi="Times New Roman"/>
                <w:b/>
                <w:b/>
                <w:bCs/>
                <w:i/>
                <w:i/>
                <w:iCs/>
                <w:lang w:val="en-US" w:eastAsia="en-US"/>
              </w:rPr>
            </w:pPr>
            <w:r>
              <w:rPr>
                <w:rFonts w:ascii="Times New Roman" w:hAnsi="Times New Roman"/>
                <w:b/>
                <w:bCs/>
                <w:i/>
                <w:iCs/>
              </w:rPr>
              <w:t>100%</w:t>
            </w:r>
          </w:p>
        </w:tc>
      </w:tr>
    </w:tbl>
    <w:p>
      <w:pPr>
        <w:pStyle w:val="Normal"/>
        <w:spacing w:lineRule="auto" w:line="240" w:before="0" w:after="0"/>
        <w:rPr>
          <w:sz w:val="16"/>
          <w:szCs w:val="16"/>
        </w:rPr>
      </w:pPr>
      <w:r>
        <w:rPr>
          <w:sz w:val="16"/>
          <w:szCs w:val="16"/>
        </w:rPr>
      </w:r>
    </w:p>
    <w:p>
      <w:pPr>
        <w:pStyle w:val="NormalWeb"/>
        <w:numPr>
          <w:ilvl w:val="2"/>
          <w:numId w:val="4"/>
        </w:numPr>
        <w:jc w:val="center"/>
        <w:rPr>
          <w:rFonts w:ascii="Times New Roman" w:hAnsi="Times New Roman" w:cs="Times New Roman"/>
          <w:b/>
          <w:b/>
          <w:sz w:val="28"/>
          <w:szCs w:val="28"/>
        </w:rPr>
      </w:pPr>
      <w:bookmarkStart w:id="184" w:name="_Toc256850166"/>
      <w:bookmarkStart w:id="185" w:name="_Toc34212841"/>
      <w:bookmarkStart w:id="186" w:name="_Toc34558212"/>
      <w:bookmarkStart w:id="187" w:name="_Toc34559012"/>
      <w:bookmarkStart w:id="188" w:name="_Toc34559189"/>
      <w:bookmarkStart w:id="189" w:name="_Toc34560041"/>
      <w:bookmarkStart w:id="190" w:name="_Toc34560089"/>
      <w:bookmarkStart w:id="191" w:name="_Toc34560179"/>
      <w:bookmarkStart w:id="192" w:name="_Toc65489223"/>
      <w:bookmarkStart w:id="193" w:name="_Toc96823392"/>
      <w:bookmarkStart w:id="194" w:name="_Toc97106166"/>
      <w:bookmarkStart w:id="195" w:name="_Toc130628065"/>
      <w:r>
        <w:rPr>
          <w:rFonts w:cs="Times New Roman" w:ascii="Times New Roman" w:hAnsi="Times New Roman"/>
          <w:b/>
          <w:sz w:val="28"/>
          <w:szCs w:val="28"/>
        </w:rPr>
        <w:t>Земли запаса</w:t>
      </w:r>
      <w:bookmarkEnd w:id="184"/>
      <w:bookmarkEnd w:id="185"/>
      <w:bookmarkEnd w:id="186"/>
      <w:bookmarkEnd w:id="187"/>
      <w:bookmarkEnd w:id="188"/>
      <w:bookmarkEnd w:id="189"/>
      <w:bookmarkEnd w:id="190"/>
      <w:bookmarkEnd w:id="191"/>
      <w:bookmarkEnd w:id="192"/>
      <w:bookmarkEnd w:id="193"/>
      <w:bookmarkEnd w:id="194"/>
      <w:bookmarkEnd w:id="195"/>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 соответствии с Земельным кодексом Российской Федерации землями запаса являются земли, находящиеся в государственной и муниципальной собственности и не предоставленные гражданам или юридическим лицам. Таким образом, земли запаса – это неиспользуемые земли. Использование земель запаса допускается после перевода их в другую категорию. </w:t>
      </w:r>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Площадь категории земель запаса в Приморском крае составила на 1 января 2017 года 649,9 тыс. га. По своему составу земли запаса не однородны. В состав земель запаса входят земли, не вовлеченные в хозяйственный оборот, а также земли под участками леса и водными объектами. В отношении последних необходимо провести мероприятия по переводу земель или земельных участков в другие категории земель согласно требованиям лесного, водного и земельного законодательства. </w:t>
      </w:r>
    </w:p>
    <w:p>
      <w:pPr>
        <w:pStyle w:val="NormalWeb"/>
        <w:spacing w:lineRule="auto" w:line="240" w:before="0" w:after="200"/>
        <w:ind w:firstLine="709"/>
        <w:contextualSpacing/>
        <w:jc w:val="both"/>
        <w:rPr>
          <w:rFonts w:ascii="Times New Roman" w:hAnsi="Times New Roman"/>
          <w:b/>
          <w:b/>
          <w:sz w:val="24"/>
          <w:szCs w:val="24"/>
          <w:lang w:val="ru-RU"/>
        </w:rPr>
      </w:pPr>
      <w:r>
        <w:rPr>
          <w:rFonts w:ascii="Times New Roman" w:hAnsi="Times New Roman"/>
          <w:sz w:val="28"/>
          <w:szCs w:val="28"/>
          <w:lang w:val="ru-RU"/>
        </w:rPr>
        <w:t>Распределение земель запаса по угодьям представлено в таблице 7.</w:t>
      </w:r>
    </w:p>
    <w:p>
      <w:pPr>
        <w:pStyle w:val="Normal"/>
        <w:spacing w:lineRule="auto" w:line="240" w:before="0" w:after="200"/>
        <w:ind w:firstLine="289"/>
        <w:contextualSpacing/>
        <w:jc w:val="center"/>
        <w:rPr>
          <w:rFonts w:ascii="Times New Roman" w:hAnsi="Times New Roman" w:cs="Times New Roman"/>
          <w:b/>
          <w:b/>
          <w:sz w:val="24"/>
          <w:szCs w:val="24"/>
        </w:rPr>
      </w:pPr>
      <w:r>
        <w:rPr>
          <w:rFonts w:cs="Times New Roman" w:ascii="Times New Roman" w:hAnsi="Times New Roman"/>
          <w:b/>
          <w:sz w:val="24"/>
          <w:szCs w:val="24"/>
        </w:rPr>
        <w:t xml:space="preserve">Распределение земель запаса по угодьям за 2016 год </w:t>
      </w:r>
    </w:p>
    <w:p>
      <w:pPr>
        <w:pStyle w:val="Normal"/>
        <w:spacing w:before="0" w:after="0"/>
        <w:ind w:right="96" w:firstLine="289"/>
        <w:contextualSpacing/>
        <w:jc w:val="right"/>
        <w:rPr>
          <w:sz w:val="24"/>
          <w:szCs w:val="24"/>
        </w:rPr>
      </w:pPr>
      <w:r>
        <w:rPr>
          <w:rFonts w:cs="Times New Roman" w:ascii="Times New Roman" w:hAnsi="Times New Roman"/>
          <w:sz w:val="24"/>
          <w:szCs w:val="24"/>
        </w:rPr>
        <w:t xml:space="preserve">Таблица </w:t>
      </w:r>
      <w:r>
        <w:rPr>
          <w:rFonts w:cs="Times New Roman" w:ascii="Times New Roman" w:hAnsi="Times New Roman"/>
          <w:sz w:val="24"/>
          <w:szCs w:val="24"/>
          <w:lang w:val="en-US"/>
        </w:rPr>
        <w:t>7</w:t>
      </w:r>
    </w:p>
    <w:tbl>
      <w:tblPr>
        <w:tblW w:w="9780" w:type="dxa"/>
        <w:jc w:val="center"/>
        <w:tblInd w:w="0" w:type="dxa"/>
        <w:tblLayout w:type="fixed"/>
        <w:tblCellMar>
          <w:top w:w="0" w:type="dxa"/>
          <w:left w:w="108" w:type="dxa"/>
          <w:bottom w:w="0" w:type="dxa"/>
          <w:right w:w="108" w:type="dxa"/>
        </w:tblCellMar>
        <w:tblLook w:val="00a0" w:noHBand="0" w:noVBand="0" w:firstColumn="1" w:lastRow="0" w:lastColumn="0" w:firstRow="1"/>
      </w:tblPr>
      <w:tblGrid>
        <w:gridCol w:w="719"/>
        <w:gridCol w:w="5992"/>
        <w:gridCol w:w="1439"/>
        <w:gridCol w:w="1629"/>
      </w:tblGrid>
      <w:tr>
        <w:trPr>
          <w:trHeight w:val="1148" w:hRule="exact"/>
        </w:trPr>
        <w:tc>
          <w:tcPr>
            <w:tcW w:w="7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jc w:val="center"/>
              <w:rPr>
                <w:rFonts w:ascii="Times New Roman" w:hAnsi="Times New Roman"/>
                <w:sz w:val="24"/>
                <w:szCs w:val="24"/>
                <w:lang w:val="en-US" w:eastAsia="en-US"/>
              </w:rPr>
            </w:pPr>
            <w:r>
              <w:rPr>
                <w:rFonts w:ascii="Times New Roman" w:hAnsi="Times New Roman"/>
                <w:sz w:val="24"/>
                <w:szCs w:val="24"/>
              </w:rPr>
              <w:t xml:space="preserve">№ </w:t>
            </w:r>
            <w:r>
              <w:rPr>
                <w:rFonts w:ascii="Times New Roman" w:hAnsi="Times New Roman"/>
                <w:sz w:val="24"/>
                <w:szCs w:val="24"/>
              </w:rPr>
              <w:t>п/п</w:t>
            </w:r>
          </w:p>
          <w:p>
            <w:pPr>
              <w:pStyle w:val="Normal"/>
              <w:widowControl w:val="false"/>
              <w:spacing w:lineRule="auto" w:line="240" w:before="0" w:after="200"/>
              <w:jc w:val="center"/>
              <w:rPr>
                <w:rFonts w:ascii="Times New Roman" w:hAnsi="Times New Roman"/>
                <w:sz w:val="24"/>
                <w:szCs w:val="24"/>
                <w:lang w:val="en-US" w:eastAsia="en-US"/>
              </w:rPr>
            </w:pPr>
            <w:r>
              <w:rPr>
                <w:rFonts w:ascii="Times New Roman" w:hAnsi="Times New Roman"/>
                <w:sz w:val="24"/>
                <w:szCs w:val="24"/>
                <w:lang w:val="en-US" w:eastAsia="en-US"/>
              </w:rPr>
            </w:r>
          </w:p>
        </w:tc>
        <w:tc>
          <w:tcPr>
            <w:tcW w:w="5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ind w:hanging="108"/>
              <w:jc w:val="center"/>
              <w:rPr>
                <w:rFonts w:ascii="Times New Roman" w:hAnsi="Times New Roman"/>
                <w:sz w:val="24"/>
                <w:szCs w:val="24"/>
                <w:lang w:val="en-US" w:eastAsia="en-US"/>
              </w:rPr>
            </w:pPr>
            <w:r>
              <w:rPr>
                <w:rFonts w:ascii="Times New Roman" w:hAnsi="Times New Roman"/>
                <w:sz w:val="24"/>
                <w:szCs w:val="24"/>
              </w:rPr>
              <w:t>Наименование угодий</w:t>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jc w:val="center"/>
              <w:rPr>
                <w:rFonts w:ascii="Times New Roman" w:hAnsi="Times New Roman"/>
                <w:sz w:val="24"/>
                <w:szCs w:val="24"/>
                <w:lang w:val="en-US" w:eastAsia="en-US"/>
              </w:rPr>
            </w:pPr>
            <w:r>
              <w:rPr>
                <w:rFonts w:ascii="Times New Roman" w:hAnsi="Times New Roman"/>
                <w:sz w:val="24"/>
                <w:szCs w:val="24"/>
              </w:rPr>
              <w:t>Площадь</w:t>
            </w:r>
          </w:p>
          <w:p>
            <w:pPr>
              <w:pStyle w:val="Normal"/>
              <w:widowControl w:val="false"/>
              <w:spacing w:lineRule="auto" w:line="240" w:before="0" w:after="200"/>
              <w:jc w:val="center"/>
              <w:rPr>
                <w:rFonts w:ascii="Times New Roman" w:hAnsi="Times New Roman"/>
                <w:sz w:val="24"/>
                <w:szCs w:val="24"/>
                <w:lang w:val="en-US" w:eastAsia="en-US"/>
              </w:rPr>
            </w:pPr>
            <w:r>
              <w:rPr>
                <w:rFonts w:ascii="Times New Roman" w:hAnsi="Times New Roman"/>
                <w:sz w:val="24"/>
                <w:szCs w:val="24"/>
              </w:rPr>
              <w:t>(тыс. га)</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72"/>
              <w:jc w:val="center"/>
              <w:rPr>
                <w:rFonts w:ascii="Times New Roman" w:hAnsi="Times New Roman"/>
                <w:sz w:val="24"/>
                <w:szCs w:val="24"/>
                <w:lang w:eastAsia="en-US"/>
              </w:rPr>
            </w:pPr>
            <w:r>
              <w:rPr>
                <w:rFonts w:ascii="Times New Roman" w:hAnsi="Times New Roman"/>
                <w:sz w:val="24"/>
                <w:szCs w:val="24"/>
              </w:rPr>
              <w:t xml:space="preserve">В процентах от </w:t>
            </w:r>
            <w:r>
              <w:rPr>
                <w:rFonts w:ascii="Times New Roman" w:hAnsi="Times New Roman"/>
              </w:rPr>
              <w:t>общей площади земель запаса</w:t>
            </w:r>
          </w:p>
        </w:tc>
      </w:tr>
      <w:tr>
        <w:trPr>
          <w:trHeight w:val="284" w:hRule="exact"/>
        </w:trPr>
        <w:tc>
          <w:tcPr>
            <w:tcW w:w="7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val="en-US" w:eastAsia="en-US"/>
              </w:rPr>
            </w:pPr>
            <w:r>
              <w:rPr>
                <w:rFonts w:ascii="Times New Roman" w:hAnsi="Times New Roman"/>
                <w:sz w:val="24"/>
                <w:szCs w:val="24"/>
              </w:rPr>
              <w:t>1</w:t>
            </w:r>
          </w:p>
        </w:tc>
        <w:tc>
          <w:tcPr>
            <w:tcW w:w="599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480"/>
              <w:ind w:firstLine="72"/>
              <w:jc w:val="both"/>
              <w:rPr>
                <w:rFonts w:ascii="Times New Roman" w:hAnsi="Times New Roman"/>
                <w:sz w:val="24"/>
                <w:szCs w:val="24"/>
                <w:lang w:eastAsia="en-US"/>
              </w:rPr>
            </w:pPr>
            <w:r>
              <w:rPr>
                <w:rFonts w:ascii="Times New Roman" w:hAnsi="Times New Roman"/>
                <w:sz w:val="24"/>
                <w:szCs w:val="24"/>
              </w:rPr>
              <w:t>Сельскохозяйственные угодья</w:t>
            </w:r>
          </w:p>
          <w:p>
            <w:pPr>
              <w:pStyle w:val="Normal"/>
              <w:widowControl w:val="false"/>
              <w:spacing w:lineRule="auto" w:line="480"/>
              <w:ind w:firstLine="72"/>
              <w:jc w:val="both"/>
              <w:rPr>
                <w:rFonts w:ascii="Times New Roman" w:hAnsi="Times New Roman"/>
                <w:sz w:val="24"/>
                <w:szCs w:val="24"/>
              </w:rPr>
            </w:pPr>
            <w:r>
              <w:rPr>
                <w:rFonts w:ascii="Times New Roman" w:hAnsi="Times New Roman"/>
                <w:sz w:val="24"/>
                <w:szCs w:val="24"/>
              </w:rPr>
            </w:r>
          </w:p>
          <w:p>
            <w:pPr>
              <w:pStyle w:val="Normal"/>
              <w:widowControl w:val="false"/>
              <w:spacing w:lineRule="auto" w:line="480" w:before="0" w:after="200"/>
              <w:ind w:firstLine="72"/>
              <w:jc w:val="both"/>
              <w:rPr>
                <w:rFonts w:ascii="Times New Roman" w:hAnsi="Times New Roman"/>
                <w:sz w:val="24"/>
                <w:szCs w:val="24"/>
                <w:lang w:eastAsia="en-US"/>
              </w:rPr>
            </w:pPr>
            <w:r>
              <w:rPr>
                <w:rFonts w:ascii="Times New Roman" w:hAnsi="Times New Roman"/>
                <w:sz w:val="24"/>
                <w:szCs w:val="24"/>
                <w:lang w:eastAsia="en-US"/>
              </w:rPr>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eastAsia="en-US"/>
              </w:rPr>
            </w:pPr>
            <w:r>
              <w:rPr>
                <w:rFonts w:ascii="Times New Roman" w:hAnsi="Times New Roman"/>
                <w:sz w:val="24"/>
                <w:szCs w:val="24"/>
                <w:lang w:eastAsia="en-US"/>
              </w:rPr>
              <w:t>75,6</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ind w:firstLine="72"/>
              <w:jc w:val="center"/>
              <w:rPr>
                <w:rFonts w:ascii="Times New Roman" w:hAnsi="Times New Roman"/>
                <w:sz w:val="24"/>
                <w:szCs w:val="24"/>
                <w:lang w:eastAsia="en-US"/>
              </w:rPr>
            </w:pPr>
            <w:r>
              <w:rPr>
                <w:rFonts w:ascii="Times New Roman" w:hAnsi="Times New Roman"/>
                <w:sz w:val="24"/>
                <w:szCs w:val="24"/>
                <w:lang w:eastAsia="en-US"/>
              </w:rPr>
              <w:t>11,6%</w:t>
            </w:r>
          </w:p>
        </w:tc>
      </w:tr>
      <w:tr>
        <w:trPr>
          <w:trHeight w:val="284" w:hRule="exact"/>
        </w:trPr>
        <w:tc>
          <w:tcPr>
            <w:tcW w:w="7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val="en-US" w:eastAsia="en-US"/>
              </w:rPr>
            </w:pPr>
            <w:r>
              <w:rPr>
                <w:rFonts w:ascii="Times New Roman" w:hAnsi="Times New Roman"/>
                <w:sz w:val="24"/>
                <w:szCs w:val="24"/>
              </w:rPr>
              <w:t>2</w:t>
            </w:r>
          </w:p>
        </w:tc>
        <w:tc>
          <w:tcPr>
            <w:tcW w:w="599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480" w:before="0" w:after="200"/>
              <w:ind w:firstLine="72"/>
              <w:jc w:val="both"/>
              <w:rPr>
                <w:rFonts w:ascii="Times New Roman" w:hAnsi="Times New Roman"/>
                <w:sz w:val="24"/>
                <w:szCs w:val="24"/>
                <w:lang w:val="en-US" w:eastAsia="en-US"/>
              </w:rPr>
            </w:pPr>
            <w:r>
              <w:rPr>
                <w:rFonts w:ascii="Times New Roman" w:hAnsi="Times New Roman"/>
                <w:sz w:val="24"/>
                <w:szCs w:val="24"/>
              </w:rPr>
              <w:t>Лесные земли</w:t>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eastAsia="en-US"/>
              </w:rPr>
            </w:pPr>
            <w:r>
              <w:rPr>
                <w:rFonts w:ascii="Times New Roman" w:hAnsi="Times New Roman"/>
                <w:sz w:val="24"/>
                <w:szCs w:val="24"/>
                <w:lang w:eastAsia="en-US"/>
              </w:rPr>
              <w:t>156,6</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ind w:firstLine="72"/>
              <w:jc w:val="center"/>
              <w:rPr>
                <w:rFonts w:ascii="Times New Roman" w:hAnsi="Times New Roman"/>
                <w:sz w:val="24"/>
                <w:szCs w:val="24"/>
                <w:lang w:eastAsia="en-US"/>
              </w:rPr>
            </w:pPr>
            <w:r>
              <w:rPr>
                <w:rFonts w:ascii="Times New Roman" w:hAnsi="Times New Roman"/>
                <w:sz w:val="24"/>
                <w:szCs w:val="24"/>
                <w:lang w:eastAsia="en-US"/>
              </w:rPr>
              <w:t>24,1%</w:t>
            </w:r>
          </w:p>
        </w:tc>
      </w:tr>
      <w:tr>
        <w:trPr>
          <w:trHeight w:val="284" w:hRule="exact"/>
        </w:trPr>
        <w:tc>
          <w:tcPr>
            <w:tcW w:w="7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val="en-US" w:eastAsia="en-US"/>
              </w:rPr>
            </w:pPr>
            <w:r>
              <w:rPr>
                <w:rFonts w:ascii="Times New Roman" w:hAnsi="Times New Roman"/>
                <w:sz w:val="24"/>
                <w:szCs w:val="24"/>
              </w:rPr>
              <w:t>3</w:t>
            </w:r>
          </w:p>
        </w:tc>
        <w:tc>
          <w:tcPr>
            <w:tcW w:w="5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ind w:firstLine="72"/>
              <w:rPr>
                <w:rFonts w:ascii="Times New Roman" w:hAnsi="Times New Roman"/>
                <w:sz w:val="24"/>
                <w:szCs w:val="24"/>
                <w:lang w:eastAsia="en-US"/>
              </w:rPr>
            </w:pPr>
            <w:r>
              <w:rPr>
                <w:rFonts w:ascii="Times New Roman" w:hAnsi="Times New Roman"/>
                <w:sz w:val="24"/>
                <w:szCs w:val="24"/>
              </w:rPr>
              <w:t>Земли под древесно-кустарниковой растительностью</w:t>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eastAsia="en-US"/>
              </w:rPr>
            </w:pPr>
            <w:r>
              <w:rPr>
                <w:rFonts w:ascii="Times New Roman" w:hAnsi="Times New Roman"/>
                <w:sz w:val="24"/>
                <w:szCs w:val="24"/>
                <w:lang w:eastAsia="en-US"/>
              </w:rPr>
              <w:t>152,1</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ind w:firstLine="72"/>
              <w:jc w:val="center"/>
              <w:rPr>
                <w:rFonts w:ascii="Times New Roman" w:hAnsi="Times New Roman"/>
                <w:sz w:val="24"/>
                <w:szCs w:val="24"/>
                <w:lang w:eastAsia="en-US"/>
              </w:rPr>
            </w:pPr>
            <w:r>
              <w:rPr>
                <w:rFonts w:ascii="Times New Roman" w:hAnsi="Times New Roman"/>
                <w:sz w:val="24"/>
                <w:szCs w:val="24"/>
                <w:lang w:eastAsia="en-US"/>
              </w:rPr>
              <w:t>23,4%</w:t>
            </w:r>
          </w:p>
        </w:tc>
      </w:tr>
      <w:tr>
        <w:trPr>
          <w:trHeight w:val="284" w:hRule="exact"/>
        </w:trPr>
        <w:tc>
          <w:tcPr>
            <w:tcW w:w="7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val="en-US" w:eastAsia="en-US"/>
              </w:rPr>
            </w:pPr>
            <w:r>
              <w:rPr>
                <w:rFonts w:ascii="Times New Roman" w:hAnsi="Times New Roman"/>
                <w:sz w:val="24"/>
                <w:szCs w:val="24"/>
              </w:rPr>
              <w:t>4</w:t>
            </w:r>
          </w:p>
        </w:tc>
        <w:tc>
          <w:tcPr>
            <w:tcW w:w="599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480" w:before="0" w:after="200"/>
              <w:ind w:firstLine="72"/>
              <w:jc w:val="both"/>
              <w:rPr>
                <w:rFonts w:ascii="Times New Roman" w:hAnsi="Times New Roman"/>
                <w:sz w:val="24"/>
                <w:szCs w:val="24"/>
                <w:lang w:val="en-US" w:eastAsia="en-US"/>
              </w:rPr>
            </w:pPr>
            <w:r>
              <w:rPr>
                <w:rFonts w:ascii="Times New Roman" w:hAnsi="Times New Roman"/>
                <w:sz w:val="24"/>
                <w:szCs w:val="24"/>
              </w:rPr>
              <w:t>Земли под водой</w:t>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eastAsia="en-US"/>
              </w:rPr>
            </w:pPr>
            <w:r>
              <w:rPr>
                <w:rFonts w:ascii="Times New Roman" w:hAnsi="Times New Roman"/>
                <w:sz w:val="24"/>
                <w:szCs w:val="24"/>
                <w:lang w:eastAsia="en-US"/>
              </w:rPr>
              <w:t>21,8</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ind w:firstLine="72"/>
              <w:jc w:val="center"/>
              <w:rPr>
                <w:rFonts w:ascii="Times New Roman" w:hAnsi="Times New Roman"/>
                <w:sz w:val="24"/>
                <w:szCs w:val="24"/>
                <w:lang w:eastAsia="en-US"/>
              </w:rPr>
            </w:pPr>
            <w:r>
              <w:rPr>
                <w:rFonts w:ascii="Times New Roman" w:hAnsi="Times New Roman"/>
                <w:sz w:val="24"/>
                <w:szCs w:val="24"/>
                <w:lang w:eastAsia="en-US"/>
              </w:rPr>
              <w:t>3,4%</w:t>
            </w:r>
          </w:p>
        </w:tc>
      </w:tr>
      <w:tr>
        <w:trPr>
          <w:trHeight w:val="284" w:hRule="exact"/>
        </w:trPr>
        <w:tc>
          <w:tcPr>
            <w:tcW w:w="719" w:type="dxa"/>
            <w:tcBorders>
              <w:top w:val="single" w:sz="4" w:space="0" w:color="000000"/>
              <w:left w:val="single" w:sz="4" w:space="0" w:color="000000"/>
              <w:bottom w:val="single" w:sz="4" w:space="0" w:color="000000"/>
              <w:right w:val="single" w:sz="4" w:space="0" w:color="000000"/>
            </w:tcBorders>
            <w:vAlign w:val="center"/>
          </w:tcPr>
          <w:p>
            <w:pPr>
              <w:pStyle w:val="Xl63"/>
              <w:widowControl w:val="false"/>
              <w:pBdr>
                <w:left w:val="nil"/>
                <w:bottom w:val="nil"/>
                <w:right w:val="nil"/>
              </w:pBdr>
              <w:spacing w:lineRule="auto" w:line="480" w:beforeAutospacing="0" w:before="0" w:afterAutospacing="0" w:after="0"/>
              <w:rPr>
                <w:rFonts w:ascii="Times New Roman" w:hAnsi="Times New Roman" w:cs="Times New Roman"/>
              </w:rPr>
            </w:pPr>
            <w:r>
              <w:rPr>
                <w:rFonts w:cs="Times New Roman" w:ascii="Times New Roman" w:hAnsi="Times New Roman"/>
              </w:rPr>
              <w:t>5</w:t>
            </w:r>
          </w:p>
        </w:tc>
        <w:tc>
          <w:tcPr>
            <w:tcW w:w="599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480" w:before="0" w:after="200"/>
              <w:ind w:firstLine="72"/>
              <w:jc w:val="both"/>
              <w:rPr>
                <w:rFonts w:ascii="Times New Roman" w:hAnsi="Times New Roman"/>
                <w:sz w:val="24"/>
                <w:szCs w:val="24"/>
                <w:lang w:val="en-US" w:eastAsia="en-US"/>
              </w:rPr>
            </w:pPr>
            <w:r>
              <w:rPr>
                <w:rFonts w:ascii="Times New Roman" w:hAnsi="Times New Roman"/>
                <w:sz w:val="24"/>
                <w:szCs w:val="24"/>
              </w:rPr>
              <w:t>Земли под дорогами</w:t>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eastAsia="en-US"/>
              </w:rPr>
            </w:pPr>
            <w:r>
              <w:rPr>
                <w:rFonts w:ascii="Times New Roman" w:hAnsi="Times New Roman"/>
                <w:sz w:val="24"/>
                <w:szCs w:val="24"/>
                <w:lang w:eastAsia="en-US"/>
              </w:rPr>
              <w:t>10,6</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ind w:firstLine="72"/>
              <w:jc w:val="center"/>
              <w:rPr>
                <w:rFonts w:ascii="Times New Roman" w:hAnsi="Times New Roman"/>
                <w:sz w:val="24"/>
                <w:szCs w:val="24"/>
                <w:lang w:eastAsia="en-US"/>
              </w:rPr>
            </w:pPr>
            <w:r>
              <w:rPr>
                <w:rFonts w:ascii="Times New Roman" w:hAnsi="Times New Roman"/>
                <w:sz w:val="24"/>
                <w:szCs w:val="24"/>
                <w:lang w:eastAsia="en-US"/>
              </w:rPr>
              <w:t>1,6%</w:t>
            </w:r>
          </w:p>
        </w:tc>
      </w:tr>
      <w:tr>
        <w:trPr>
          <w:trHeight w:val="284" w:hRule="exact"/>
        </w:trPr>
        <w:tc>
          <w:tcPr>
            <w:tcW w:w="7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val="en-US" w:eastAsia="en-US"/>
              </w:rPr>
            </w:pPr>
            <w:r>
              <w:rPr>
                <w:rFonts w:ascii="Times New Roman" w:hAnsi="Times New Roman"/>
                <w:sz w:val="24"/>
                <w:szCs w:val="24"/>
              </w:rPr>
              <w:t>6</w:t>
            </w:r>
          </w:p>
        </w:tc>
        <w:tc>
          <w:tcPr>
            <w:tcW w:w="599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480" w:before="0" w:after="200"/>
              <w:ind w:firstLine="72"/>
              <w:jc w:val="both"/>
              <w:rPr>
                <w:rFonts w:ascii="Times New Roman" w:hAnsi="Times New Roman"/>
                <w:sz w:val="24"/>
                <w:szCs w:val="24"/>
                <w:lang w:val="en-US" w:eastAsia="en-US"/>
              </w:rPr>
            </w:pPr>
            <w:r>
              <w:rPr>
                <w:rFonts w:ascii="Times New Roman" w:hAnsi="Times New Roman"/>
                <w:sz w:val="24"/>
                <w:szCs w:val="24"/>
              </w:rPr>
              <w:t>Земли под застройкой</w:t>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eastAsia="en-US"/>
              </w:rPr>
            </w:pPr>
            <w:r>
              <w:rPr>
                <w:rFonts w:ascii="Times New Roman" w:hAnsi="Times New Roman"/>
                <w:sz w:val="24"/>
                <w:szCs w:val="24"/>
                <w:lang w:eastAsia="en-US"/>
              </w:rPr>
              <w:t>2,0</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ind w:firstLine="72"/>
              <w:jc w:val="center"/>
              <w:rPr>
                <w:rFonts w:ascii="Times New Roman" w:hAnsi="Times New Roman"/>
                <w:sz w:val="24"/>
                <w:szCs w:val="24"/>
                <w:lang w:eastAsia="en-US"/>
              </w:rPr>
            </w:pPr>
            <w:r>
              <w:rPr>
                <w:rFonts w:ascii="Times New Roman" w:hAnsi="Times New Roman"/>
                <w:sz w:val="24"/>
                <w:szCs w:val="24"/>
                <w:lang w:eastAsia="en-US"/>
              </w:rPr>
              <w:t>0,3%</w:t>
            </w:r>
          </w:p>
        </w:tc>
      </w:tr>
      <w:tr>
        <w:trPr>
          <w:trHeight w:val="284" w:hRule="exact"/>
        </w:trPr>
        <w:tc>
          <w:tcPr>
            <w:tcW w:w="7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val="en-US" w:eastAsia="en-US"/>
              </w:rPr>
            </w:pPr>
            <w:r>
              <w:rPr>
                <w:rFonts w:ascii="Times New Roman" w:hAnsi="Times New Roman"/>
                <w:sz w:val="24"/>
                <w:szCs w:val="24"/>
              </w:rPr>
              <w:t>7</w:t>
            </w:r>
          </w:p>
        </w:tc>
        <w:tc>
          <w:tcPr>
            <w:tcW w:w="599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480"/>
              <w:ind w:firstLine="72"/>
              <w:jc w:val="both"/>
              <w:rPr>
                <w:rFonts w:ascii="Times New Roman" w:hAnsi="Times New Roman"/>
                <w:sz w:val="24"/>
                <w:szCs w:val="24"/>
                <w:lang w:val="en-US" w:eastAsia="en-US"/>
              </w:rPr>
            </w:pPr>
            <w:r>
              <w:rPr>
                <w:rFonts w:ascii="Times New Roman" w:hAnsi="Times New Roman"/>
                <w:sz w:val="24"/>
                <w:szCs w:val="24"/>
              </w:rPr>
              <w:t>Земли под болотами</w:t>
            </w:r>
          </w:p>
          <w:p>
            <w:pPr>
              <w:pStyle w:val="Normal"/>
              <w:widowControl w:val="false"/>
              <w:spacing w:lineRule="auto" w:line="480" w:before="0" w:after="200"/>
              <w:ind w:firstLine="72"/>
              <w:jc w:val="both"/>
              <w:rPr>
                <w:rFonts w:ascii="Times New Roman" w:hAnsi="Times New Roman"/>
                <w:sz w:val="24"/>
                <w:szCs w:val="24"/>
                <w:lang w:val="en-US" w:eastAsia="en-US"/>
              </w:rPr>
            </w:pPr>
            <w:r>
              <w:rPr>
                <w:rFonts w:ascii="Times New Roman" w:hAnsi="Times New Roman"/>
                <w:sz w:val="24"/>
                <w:szCs w:val="24"/>
                <w:lang w:val="en-US" w:eastAsia="en-US"/>
              </w:rPr>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eastAsia="en-US"/>
              </w:rPr>
            </w:pPr>
            <w:r>
              <w:rPr>
                <w:rFonts w:ascii="Times New Roman" w:hAnsi="Times New Roman"/>
                <w:sz w:val="24"/>
                <w:szCs w:val="24"/>
                <w:lang w:eastAsia="en-US"/>
              </w:rPr>
              <w:t>175,9</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ind w:firstLine="72"/>
              <w:jc w:val="center"/>
              <w:rPr>
                <w:rFonts w:ascii="Times New Roman" w:hAnsi="Times New Roman"/>
                <w:sz w:val="24"/>
                <w:szCs w:val="24"/>
                <w:lang w:eastAsia="en-US"/>
              </w:rPr>
            </w:pPr>
            <w:r>
              <w:rPr>
                <w:rFonts w:ascii="Times New Roman" w:hAnsi="Times New Roman"/>
                <w:sz w:val="24"/>
                <w:szCs w:val="24"/>
                <w:lang w:eastAsia="en-US"/>
              </w:rPr>
              <w:t>27,1%</w:t>
            </w:r>
          </w:p>
        </w:tc>
      </w:tr>
      <w:tr>
        <w:trPr>
          <w:trHeight w:val="284" w:hRule="exact"/>
        </w:trPr>
        <w:tc>
          <w:tcPr>
            <w:tcW w:w="7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rPr>
            </w:pPr>
            <w:r>
              <w:rPr>
                <w:rFonts w:ascii="Times New Roman" w:hAnsi="Times New Roman"/>
                <w:sz w:val="24"/>
                <w:szCs w:val="24"/>
              </w:rPr>
              <w:t>8</w:t>
            </w:r>
          </w:p>
        </w:tc>
        <w:tc>
          <w:tcPr>
            <w:tcW w:w="599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480" w:before="0" w:after="200"/>
              <w:ind w:firstLine="72"/>
              <w:jc w:val="both"/>
              <w:rPr>
                <w:rFonts w:ascii="Times New Roman" w:hAnsi="Times New Roman"/>
                <w:sz w:val="24"/>
                <w:szCs w:val="24"/>
              </w:rPr>
            </w:pPr>
            <w:r>
              <w:rPr>
                <w:rFonts w:ascii="Times New Roman" w:hAnsi="Times New Roman"/>
                <w:sz w:val="24"/>
                <w:szCs w:val="24"/>
              </w:rPr>
              <w:t>В стади мелиоративого строительства (сельхозугодья)</w:t>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eastAsia="en-US"/>
              </w:rPr>
            </w:pPr>
            <w:r>
              <w:rPr>
                <w:rFonts w:ascii="Times New Roman" w:hAnsi="Times New Roman"/>
                <w:sz w:val="24"/>
                <w:szCs w:val="24"/>
                <w:lang w:eastAsia="en-US"/>
              </w:rPr>
              <w:t>2,6</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ind w:firstLine="72"/>
              <w:jc w:val="center"/>
              <w:rPr>
                <w:rFonts w:ascii="Times New Roman" w:hAnsi="Times New Roman"/>
                <w:sz w:val="24"/>
                <w:szCs w:val="24"/>
                <w:lang w:eastAsia="en-US"/>
              </w:rPr>
            </w:pPr>
            <w:r>
              <w:rPr>
                <w:rFonts w:ascii="Times New Roman" w:hAnsi="Times New Roman"/>
                <w:sz w:val="24"/>
                <w:szCs w:val="24"/>
                <w:lang w:eastAsia="en-US"/>
              </w:rPr>
              <w:t>0,4%</w:t>
            </w:r>
          </w:p>
        </w:tc>
      </w:tr>
      <w:tr>
        <w:trPr>
          <w:trHeight w:val="284" w:hRule="exact"/>
        </w:trPr>
        <w:tc>
          <w:tcPr>
            <w:tcW w:w="7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val="en-US" w:eastAsia="en-US"/>
              </w:rPr>
            </w:pPr>
            <w:r>
              <w:rPr>
                <w:rFonts w:ascii="Times New Roman" w:hAnsi="Times New Roman"/>
                <w:sz w:val="24"/>
                <w:szCs w:val="24"/>
              </w:rPr>
              <w:t>9</w:t>
            </w:r>
          </w:p>
        </w:tc>
        <w:tc>
          <w:tcPr>
            <w:tcW w:w="599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480" w:before="0" w:after="200"/>
              <w:ind w:firstLine="72"/>
              <w:jc w:val="both"/>
              <w:rPr>
                <w:rFonts w:ascii="Times New Roman" w:hAnsi="Times New Roman"/>
                <w:sz w:val="24"/>
                <w:szCs w:val="24"/>
                <w:lang w:val="en-US" w:eastAsia="en-US"/>
              </w:rPr>
            </w:pPr>
            <w:r>
              <w:rPr>
                <w:rFonts w:ascii="Times New Roman" w:hAnsi="Times New Roman"/>
                <w:sz w:val="24"/>
                <w:szCs w:val="24"/>
              </w:rPr>
              <w:t>Нарушенные земли</w:t>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eastAsia="en-US"/>
              </w:rPr>
            </w:pPr>
            <w:r>
              <w:rPr>
                <w:rFonts w:ascii="Times New Roman" w:hAnsi="Times New Roman"/>
                <w:sz w:val="24"/>
                <w:szCs w:val="24"/>
                <w:lang w:eastAsia="en-US"/>
              </w:rPr>
              <w:t>2,1</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ind w:firstLine="72"/>
              <w:jc w:val="center"/>
              <w:rPr>
                <w:rFonts w:ascii="Times New Roman" w:hAnsi="Times New Roman"/>
                <w:sz w:val="24"/>
                <w:szCs w:val="24"/>
                <w:lang w:eastAsia="en-US"/>
              </w:rPr>
            </w:pPr>
            <w:r>
              <w:rPr>
                <w:rFonts w:ascii="Times New Roman" w:hAnsi="Times New Roman"/>
                <w:sz w:val="24"/>
                <w:szCs w:val="24"/>
                <w:lang w:eastAsia="en-US"/>
              </w:rPr>
              <w:t>0,3%</w:t>
            </w:r>
          </w:p>
        </w:tc>
      </w:tr>
      <w:tr>
        <w:trPr>
          <w:trHeight w:val="284" w:hRule="exact"/>
        </w:trPr>
        <w:tc>
          <w:tcPr>
            <w:tcW w:w="7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val="en-US" w:eastAsia="en-US"/>
              </w:rPr>
            </w:pPr>
            <w:r>
              <w:rPr>
                <w:rFonts w:ascii="Times New Roman" w:hAnsi="Times New Roman"/>
                <w:sz w:val="24"/>
                <w:szCs w:val="24"/>
              </w:rPr>
              <w:t>10</w:t>
            </w:r>
          </w:p>
        </w:tc>
        <w:tc>
          <w:tcPr>
            <w:tcW w:w="599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480" w:before="0" w:after="200"/>
              <w:ind w:firstLine="72"/>
              <w:jc w:val="both"/>
              <w:rPr>
                <w:rFonts w:ascii="Times New Roman" w:hAnsi="Times New Roman"/>
                <w:sz w:val="24"/>
                <w:szCs w:val="24"/>
                <w:lang w:val="en-US" w:eastAsia="en-US"/>
              </w:rPr>
            </w:pPr>
            <w:r>
              <w:rPr>
                <w:rFonts w:ascii="Times New Roman" w:hAnsi="Times New Roman"/>
                <w:sz w:val="24"/>
                <w:szCs w:val="24"/>
              </w:rPr>
              <w:t>Другие  земли</w:t>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eastAsia="en-US"/>
              </w:rPr>
            </w:pPr>
            <w:r>
              <w:rPr>
                <w:rFonts w:ascii="Times New Roman" w:hAnsi="Times New Roman"/>
                <w:sz w:val="24"/>
                <w:szCs w:val="24"/>
                <w:lang w:eastAsia="en-US"/>
              </w:rPr>
              <w:t>50,6</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ind w:firstLine="72"/>
              <w:jc w:val="center"/>
              <w:rPr>
                <w:rFonts w:ascii="Times New Roman" w:hAnsi="Times New Roman"/>
                <w:sz w:val="24"/>
                <w:szCs w:val="24"/>
                <w:lang w:eastAsia="en-US"/>
              </w:rPr>
            </w:pPr>
            <w:r>
              <w:rPr>
                <w:rFonts w:ascii="Times New Roman" w:hAnsi="Times New Roman"/>
                <w:sz w:val="24"/>
                <w:szCs w:val="24"/>
                <w:lang w:eastAsia="en-US"/>
              </w:rPr>
              <w:t>7,8%</w:t>
            </w:r>
          </w:p>
        </w:tc>
      </w:tr>
      <w:tr>
        <w:trPr>
          <w:trHeight w:val="284" w:hRule="exact"/>
        </w:trPr>
        <w:tc>
          <w:tcPr>
            <w:tcW w:w="7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sz w:val="24"/>
                <w:szCs w:val="24"/>
                <w:lang w:val="en-US" w:eastAsia="en-US"/>
              </w:rPr>
            </w:pPr>
            <w:r>
              <w:rPr>
                <w:rFonts w:ascii="Times New Roman" w:hAnsi="Times New Roman"/>
                <w:sz w:val="24"/>
                <w:szCs w:val="24"/>
                <w:lang w:val="en-US" w:eastAsia="en-US"/>
              </w:rPr>
            </w:r>
          </w:p>
        </w:tc>
        <w:tc>
          <w:tcPr>
            <w:tcW w:w="599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480" w:before="0" w:after="200"/>
              <w:ind w:firstLine="72"/>
              <w:jc w:val="both"/>
              <w:rPr>
                <w:rFonts w:ascii="Times New Roman" w:hAnsi="Times New Roman"/>
                <w:b/>
                <w:b/>
                <w:bCs/>
                <w:i/>
                <w:i/>
                <w:iCs/>
                <w:sz w:val="24"/>
                <w:szCs w:val="24"/>
                <w:lang w:val="en-US" w:eastAsia="en-US"/>
              </w:rPr>
            </w:pPr>
            <w:r>
              <w:rPr>
                <w:rFonts w:ascii="Times New Roman" w:hAnsi="Times New Roman"/>
                <w:b/>
                <w:bCs/>
                <w:i/>
                <w:iCs/>
                <w:sz w:val="24"/>
                <w:szCs w:val="24"/>
              </w:rPr>
              <w:t>Итого</w:t>
            </w:r>
          </w:p>
        </w:tc>
        <w:tc>
          <w:tcPr>
            <w:tcW w:w="1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jc w:val="center"/>
              <w:rPr>
                <w:rFonts w:ascii="Times New Roman" w:hAnsi="Times New Roman"/>
                <w:b/>
                <w:b/>
                <w:bCs/>
                <w:i/>
                <w:i/>
                <w:iCs/>
                <w:sz w:val="24"/>
                <w:szCs w:val="24"/>
                <w:lang w:eastAsia="en-US"/>
              </w:rPr>
            </w:pPr>
            <w:r>
              <w:rPr>
                <w:rFonts w:ascii="Times New Roman" w:hAnsi="Times New Roman"/>
                <w:b/>
                <w:bCs/>
                <w:i/>
                <w:iCs/>
                <w:sz w:val="24"/>
                <w:szCs w:val="24"/>
                <w:lang w:eastAsia="en-US"/>
              </w:rPr>
              <w:t>649,9</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480" w:before="0" w:after="200"/>
              <w:ind w:firstLine="72"/>
              <w:jc w:val="center"/>
              <w:rPr>
                <w:rFonts w:ascii="Times New Roman" w:hAnsi="Times New Roman"/>
                <w:b/>
                <w:b/>
                <w:bCs/>
                <w:i/>
                <w:i/>
                <w:iCs/>
                <w:sz w:val="24"/>
                <w:szCs w:val="24"/>
                <w:lang w:val="en-US" w:eastAsia="en-US"/>
              </w:rPr>
            </w:pPr>
            <w:r>
              <w:rPr>
                <w:rFonts w:ascii="Times New Roman" w:hAnsi="Times New Roman"/>
                <w:b/>
                <w:bCs/>
                <w:i/>
                <w:iCs/>
                <w:sz w:val="24"/>
                <w:szCs w:val="24"/>
              </w:rPr>
              <w:t>100,0%</w:t>
            </w:r>
          </w:p>
        </w:tc>
      </w:tr>
    </w:tbl>
    <w:p>
      <w:pPr>
        <w:pStyle w:val="Normal"/>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Web"/>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t>1.2. РАСПРЕДЕЛЕНИЕ ЗЕМЕЛЬНОГО ФОНДА ПО УГОДЬЯМ</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Web"/>
        <w:spacing w:lineRule="auto" w:line="240" w:before="0" w:after="200"/>
        <w:ind w:firstLine="709"/>
        <w:contextualSpacing/>
        <w:jc w:val="both"/>
        <w:rPr>
          <w:rFonts w:ascii="Times New Roman" w:hAnsi="Times New Roman"/>
          <w:sz w:val="28"/>
          <w:szCs w:val="28"/>
          <w:lang w:val="ru-RU"/>
        </w:rPr>
      </w:pPr>
      <w:bookmarkStart w:id="196" w:name="_Toc3032273"/>
      <w:bookmarkStart w:id="197" w:name="_Toc34212844"/>
      <w:bookmarkStart w:id="198" w:name="_Toc34558215"/>
      <w:bookmarkStart w:id="199" w:name="_Toc34559015"/>
      <w:bookmarkStart w:id="200" w:name="_Toc34559192"/>
      <w:bookmarkStart w:id="201" w:name="_Toc34560044"/>
      <w:bookmarkStart w:id="202" w:name="_Toc34560092"/>
      <w:bookmarkStart w:id="203" w:name="_Toc34560182"/>
      <w:bookmarkStart w:id="204" w:name="_Toc65489226"/>
      <w:bookmarkStart w:id="205" w:name="_Toc96823395"/>
      <w:bookmarkStart w:id="206" w:name="_Toc97106169"/>
      <w:bookmarkStart w:id="207" w:name="_Toc130628068"/>
      <w:bookmarkStart w:id="208" w:name="_Toc256850169"/>
      <w:bookmarkStart w:id="209" w:name="_Toc34212843"/>
      <w:bookmarkStart w:id="210" w:name="_Toc34558214"/>
      <w:bookmarkStart w:id="211" w:name="_Toc34559014"/>
      <w:bookmarkStart w:id="212" w:name="_Toc34559191"/>
      <w:bookmarkStart w:id="213" w:name="_Toc34560043"/>
      <w:bookmarkStart w:id="214" w:name="_Toc34560091"/>
      <w:bookmarkStart w:id="215" w:name="_Toc34560181"/>
      <w:bookmarkStart w:id="216" w:name="_Toc65489225"/>
      <w:bookmarkStart w:id="217" w:name="_Toc96823394"/>
      <w:bookmarkStart w:id="218" w:name="_Toc97106168"/>
      <w:bookmarkStart w:id="219" w:name="_Toc130628067"/>
      <w:bookmarkStart w:id="220" w:name="_Toc256850168"/>
      <w:r>
        <w:rPr>
          <w:rFonts w:ascii="Times New Roman" w:hAnsi="Times New Roman"/>
          <w:sz w:val="28"/>
          <w:szCs w:val="28"/>
          <w:lang w:val="ru-RU"/>
        </w:rPr>
        <w:t>Земельные угодья являются основным элементом государственного земельного учета.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Весь земельный фонд Приморского края распределен по угодьям, общая площадь которых составляет 16467,3 тыс. га. Распределение земель Приморского края по угодьям в разрезе муниципальных образований Приморского края представлено в приложении 2. Земельные угодья подразделяются на сельскохозяйственные и несельскохозяйственные.</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Сельскохозяйственные угодья – это земельные угодья, систематически используемые для получения сельскохозяйственной продукции. К ним относятся: пашня, сенокос, пастбище, залежь, многолетние насаждения.</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Несельскохозяйственные угодья подразделяются на земли под лесами, древесно-кустарниковой растительностью, под поверхностными водными объектами, застройкой, дорогами, болотами, нарушенные земли, находящиеся в стадии восстановления плодородия и мелиоративного строительства, прочие земли (овраги, пески и т.п.). </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Web"/>
        <w:jc w:val="center"/>
        <w:rPr>
          <w:rFonts w:ascii="Times New Roman" w:hAnsi="Times New Roman" w:cs="Times New Roman"/>
          <w:b/>
          <w:b/>
          <w:bCs/>
          <w:sz w:val="28"/>
          <w:szCs w:val="28"/>
          <w:lang w:val="ru-RU"/>
        </w:rPr>
      </w:pPr>
      <w:bookmarkStart w:id="221" w:name="_Toc34212843"/>
      <w:bookmarkStart w:id="222" w:name="_Toc34558214"/>
      <w:bookmarkStart w:id="223" w:name="_Toc34559014"/>
      <w:bookmarkStart w:id="224" w:name="_Toc34559191"/>
      <w:bookmarkStart w:id="225" w:name="_Toc34560043"/>
      <w:bookmarkStart w:id="226" w:name="_Toc34560091"/>
      <w:bookmarkStart w:id="227" w:name="_Toc34560181"/>
      <w:bookmarkStart w:id="228" w:name="_Toc65489225"/>
      <w:bookmarkStart w:id="229" w:name="_Toc96823394"/>
      <w:bookmarkStart w:id="230" w:name="_Toc97106168"/>
      <w:bookmarkStart w:id="231" w:name="_Toc130628067"/>
      <w:bookmarkStart w:id="232" w:name="_Toc256850168"/>
      <w:r>
        <w:rPr>
          <w:rFonts w:cs="Times New Roman" w:ascii="Times New Roman" w:hAnsi="Times New Roman"/>
          <w:b/>
          <w:bCs/>
          <w:sz w:val="28"/>
          <w:szCs w:val="28"/>
          <w:lang w:val="ru-RU"/>
        </w:rPr>
        <w:t>1.2.1. Сельскохозяйственные угодья</w:t>
      </w:r>
      <w:bookmarkEnd w:id="221"/>
      <w:bookmarkEnd w:id="222"/>
      <w:bookmarkEnd w:id="223"/>
      <w:bookmarkEnd w:id="224"/>
      <w:bookmarkEnd w:id="225"/>
      <w:bookmarkEnd w:id="226"/>
      <w:bookmarkEnd w:id="227"/>
      <w:bookmarkEnd w:id="228"/>
      <w:bookmarkEnd w:id="229"/>
      <w:bookmarkEnd w:id="230"/>
      <w:bookmarkEnd w:id="231"/>
      <w:bookmarkEnd w:id="232"/>
    </w:p>
    <w:p>
      <w:pPr>
        <w:pStyle w:val="NormalWeb"/>
        <w:spacing w:lineRule="auto" w:line="240" w:before="0" w:after="0"/>
        <w:ind w:firstLine="709"/>
        <w:jc w:val="both"/>
        <w:rPr>
          <w:rFonts w:ascii="Times New Roman" w:hAnsi="Times New Roman"/>
          <w:sz w:val="28"/>
          <w:szCs w:val="28"/>
          <w:lang w:val="ru-RU"/>
        </w:rPr>
      </w:pPr>
      <w:r>
        <mc:AlternateContent>
          <mc:Choice Requires="wps">
            <w:drawing>
              <wp:anchor behindDoc="0" distT="0" distB="0" distL="90170" distR="122555" simplePos="0" locked="0" layoutInCell="0" allowOverlap="1" relativeHeight="12" wp14:anchorId="1A079538">
                <wp:simplePos x="0" y="0"/>
                <wp:positionH relativeFrom="column">
                  <wp:posOffset>-24130</wp:posOffset>
                </wp:positionH>
                <wp:positionV relativeFrom="paragraph">
                  <wp:posOffset>40005</wp:posOffset>
                </wp:positionV>
                <wp:extent cx="2238375" cy="1304925"/>
                <wp:effectExtent l="24130" t="24130" r="77470" b="77470"/>
                <wp:wrapSquare wrapText="bothSides"/>
                <wp:docPr id="16" name="Рисунок 16"/>
                <a:graphic xmlns:a="http://schemas.openxmlformats.org/drawingml/2006/main">
                  <a:graphicData uri="http://schemas.openxmlformats.org/drawingml/2006/picture">
                    <pic:pic xmlns:pic="http://schemas.openxmlformats.org/drawingml/2006/picture">
                      <pic:nvPicPr>
                        <pic:cNvPr id="5" name="Рисунок 16" descr=""/>
                        <pic:cNvPicPr/>
                      </pic:nvPicPr>
                      <pic:blipFill>
                        <a:blip r:embed="rId67"/>
                        <a:stretch/>
                      </pic:blipFill>
                      <pic:spPr>
                        <a:xfrm>
                          <a:off x="0" y="0"/>
                          <a:ext cx="2238480" cy="1305000"/>
                        </a:xfrm>
                        <a:prstGeom prst="rect">
                          <a:avLst/>
                        </a:prstGeom>
                        <a:ln w="9525">
                          <a:noFill/>
                        </a:ln>
                        <a:effectLst>
                          <a:outerShdw algn="tl" blurRad="50760" dir="2700000" dist="37674" rotWithShape="0">
                            <a:srgbClr val="000000">
                              <a:alpha val="40000"/>
                            </a:srgbClr>
                          </a:outerShdw>
                        </a:effectLst>
                      </pic:spPr>
                    </pic:pic>
                  </a:graphicData>
                </a:graphic>
              </wp:anchor>
            </w:drawing>
          </mc:Choice>
          <mc:Fallback>
            <w:pict>
              <v:shape id="shape_0" ID="Рисунок 16" stroked="f" o:allowincell="f" style="position:absolute;margin-left:-1.9pt;margin-top:3.15pt;width:176.2pt;height:102.7pt;mso-wrap-style:none;v-text-anchor:middle" wp14:anchorId="1A079538" type="_x0000_t75">
                <v:imagedata r:id="rId67" o:detectmouseclick="t"/>
                <v:stroke color="#3465a4" weight="9360" joinstyle="miter" endcap="flat"/>
                <w10:wrap type="square"/>
              </v:shape>
            </w:pict>
          </mc:Fallback>
        </mc:AlternateContent>
      </w:r>
      <w:r>
        <w:rPr>
          <w:rFonts w:ascii="Times New Roman" w:hAnsi="Times New Roman"/>
          <w:sz w:val="28"/>
          <w:szCs w:val="28"/>
          <w:lang w:val="ru-RU"/>
        </w:rPr>
        <w:t>Сельскохозяйственные угодья – это земельные угодья, систематически используемые для получения сельскохозяйственной продукции.</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На 01.01.2017 общая площадь сельскохозяйственных угодий края на землях всех категорий составляет 1648,8 тыс. га (10 % всей территории края), из них:</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пашня                                         </w:t>
        <w:tab/>
        <w:t>- 754,8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залежь                                         </w:t>
        <w:tab/>
        <w:t>-   60,8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многолетние  насаждения        </w:t>
        <w:tab/>
        <w:t>-   25,9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пастбища                                    </w:t>
        <w:tab/>
        <w:t>- 445,9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сенокосы                                    </w:t>
        <w:tab/>
        <w:t>- 361,4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Площадь сельскохозяйственных угодий в категории земель сельскохозяйственного назначения (рис. 7) составляет по состоянию на 01.01.2017 – 1398,7 тыс. га (84,8 % всех сельхозугодий края), все остальные сельхозугодия (250,1 тыс. га) находятся на землях других категорий.</w:t>
      </w:r>
    </w:p>
    <w:p>
      <w:pPr>
        <w:pStyle w:val="NormalWeb"/>
        <w:spacing w:lineRule="auto" w:line="240" w:before="0" w:after="0"/>
        <w:contextualSpacing/>
        <w:jc w:val="both"/>
        <w:rPr>
          <w:rFonts w:ascii="Times New Roman" w:hAnsi="Times New Roman" w:cs="Times New Roman"/>
          <w:sz w:val="28"/>
          <w:szCs w:val="28"/>
          <w:lang w:val="ru-RU"/>
        </w:rPr>
      </w:pPr>
      <w:r>
        <w:rPr/>
        <w:drawing>
          <wp:inline distT="0" distB="0" distL="0" distR="0">
            <wp:extent cx="5433060" cy="1691640"/>
            <wp:effectExtent l="0" t="0" r="0" b="0"/>
            <wp:docPr id="17" name="Объект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NormalWeb"/>
        <w:tabs>
          <w:tab w:val="clear" w:pos="708"/>
          <w:tab w:val="left" w:pos="-1980" w:leader="none"/>
        </w:tabs>
        <w:spacing w:lineRule="auto" w:line="240" w:before="0" w:after="0"/>
        <w:jc w:val="center"/>
        <w:rPr>
          <w:rFonts w:ascii="Cambria" w:hAnsi="Cambria" w:asciiTheme="majorHAnsi" w:hAnsiTheme="majorHAnsi"/>
          <w:sz w:val="24"/>
          <w:szCs w:val="24"/>
        </w:rPr>
      </w:pPr>
      <w:r>
        <w:rPr>
          <w:rFonts w:asciiTheme="majorHAnsi" w:hAnsiTheme="majorHAnsi" w:ascii="Cambria" w:hAnsi="Cambria"/>
          <w:sz w:val="24"/>
          <w:szCs w:val="24"/>
        </w:rPr>
      </w:r>
    </w:p>
    <w:p>
      <w:pPr>
        <w:pStyle w:val="NormalWeb"/>
        <w:spacing w:lineRule="auto" w:line="240"/>
        <w:jc w:val="center"/>
        <w:rPr>
          <w:rFonts w:ascii="Times New Roman" w:hAnsi="Times New Roman" w:cs="Times New Roman"/>
          <w:b/>
          <w:b/>
          <w:szCs w:val="24"/>
          <w:lang w:val="ru-RU"/>
        </w:rPr>
      </w:pPr>
      <w:r>
        <w:rPr>
          <w:rFonts w:cs="Times New Roman" w:ascii="Times New Roman" w:hAnsi="Times New Roman"/>
          <w:b/>
          <w:szCs w:val="24"/>
          <w:lang w:val="ru-RU"/>
        </w:rPr>
        <w:t xml:space="preserve">Рис. 7. Структура сельскохозяйственных угодий края в составе земель </w:t>
        <w:br/>
        <w:t>сельскохозяйственного назначения в 2016 году</w:t>
      </w:r>
    </w:p>
    <w:p>
      <w:pPr>
        <w:pStyle w:val="NormalWeb"/>
        <w:spacing w:lineRule="auto" w:line="240" w:before="240" w:after="200"/>
        <w:ind w:firstLine="709"/>
        <w:contextualSpacing/>
        <w:jc w:val="both"/>
        <w:rPr>
          <w:rFonts w:ascii="Times New Roman" w:hAnsi="Times New Roman"/>
          <w:sz w:val="28"/>
          <w:szCs w:val="28"/>
          <w:lang w:val="ru-RU"/>
        </w:rPr>
      </w:pPr>
      <w:r>
        <w:rPr>
          <w:rFonts w:ascii="Times New Roman" w:hAnsi="Times New Roman"/>
          <w:sz w:val="28"/>
          <w:szCs w:val="28"/>
          <w:lang w:val="ru-RU"/>
        </w:rPr>
        <w:t>Динамика изменения площадей сельскохозяйственных угодий Приморского края (в тыс. га) за 2012-2016 годы незначительна и представлена в сравнительной таблице.</w:t>
      </w:r>
    </w:p>
    <w:tbl>
      <w:tblPr>
        <w:tblW w:w="9828" w:type="dxa"/>
        <w:jc w:val="center"/>
        <w:tblInd w:w="0" w:type="dxa"/>
        <w:tblLayout w:type="fixed"/>
        <w:tblCellMar>
          <w:top w:w="0" w:type="dxa"/>
          <w:left w:w="108" w:type="dxa"/>
          <w:bottom w:w="0" w:type="dxa"/>
          <w:right w:w="108" w:type="dxa"/>
        </w:tblCellMar>
        <w:tblLook w:val="00a0" w:noHBand="0" w:noVBand="0" w:firstColumn="1" w:lastRow="0" w:lastColumn="0" w:firstRow="1"/>
      </w:tblPr>
      <w:tblGrid>
        <w:gridCol w:w="4829"/>
        <w:gridCol w:w="1016"/>
        <w:gridCol w:w="1017"/>
        <w:gridCol w:w="1018"/>
        <w:gridCol w:w="1017"/>
        <w:gridCol w:w="930"/>
      </w:tblGrid>
      <w:tr>
        <w:trPr/>
        <w:tc>
          <w:tcPr>
            <w:tcW w:w="482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both"/>
              <w:rPr>
                <w:rFonts w:ascii="Times New Roman" w:hAnsi="Times New Roman"/>
                <w:lang w:val="ru-RU"/>
              </w:rPr>
            </w:pPr>
            <w:r>
              <w:rPr>
                <w:rFonts w:ascii="Times New Roman" w:hAnsi="Times New Roman"/>
                <w:lang w:val="ru-RU"/>
              </w:rPr>
            </w:r>
          </w:p>
        </w:tc>
        <w:tc>
          <w:tcPr>
            <w:tcW w:w="101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rPr>
              <w:t xml:space="preserve">2012 </w:t>
            </w:r>
            <w:r>
              <w:rPr>
                <w:rFonts w:ascii="Times New Roman" w:hAnsi="Times New Roman"/>
                <w:lang w:val="ru-RU"/>
              </w:rPr>
              <w:t>год</w:t>
            </w:r>
          </w:p>
        </w:tc>
        <w:tc>
          <w:tcPr>
            <w:tcW w:w="1017"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2013 год</w:t>
            </w:r>
          </w:p>
        </w:tc>
        <w:tc>
          <w:tcPr>
            <w:tcW w:w="101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2014 год</w:t>
            </w:r>
          </w:p>
        </w:tc>
        <w:tc>
          <w:tcPr>
            <w:tcW w:w="1017"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2015 год</w:t>
            </w:r>
          </w:p>
        </w:tc>
        <w:tc>
          <w:tcPr>
            <w:tcW w:w="93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2016</w:t>
            </w:r>
          </w:p>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год</w:t>
            </w:r>
          </w:p>
        </w:tc>
      </w:tr>
      <w:tr>
        <w:trPr/>
        <w:tc>
          <w:tcPr>
            <w:tcW w:w="482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both"/>
              <w:rPr>
                <w:rFonts w:ascii="Times New Roman" w:hAnsi="Times New Roman"/>
                <w:lang w:val="ru-RU"/>
              </w:rPr>
            </w:pPr>
            <w:r>
              <w:rPr>
                <w:rFonts w:ascii="Times New Roman" w:hAnsi="Times New Roman"/>
                <w:lang w:val="ru-RU"/>
              </w:rPr>
              <w:t>Всего земель сельскохозяйственных угодий</w:t>
            </w:r>
          </w:p>
        </w:tc>
        <w:tc>
          <w:tcPr>
            <w:tcW w:w="101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1648,5</w:t>
            </w:r>
          </w:p>
        </w:tc>
        <w:tc>
          <w:tcPr>
            <w:tcW w:w="1017"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1648,5</w:t>
            </w:r>
          </w:p>
        </w:tc>
        <w:tc>
          <w:tcPr>
            <w:tcW w:w="101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1648,4</w:t>
            </w:r>
          </w:p>
        </w:tc>
        <w:tc>
          <w:tcPr>
            <w:tcW w:w="1017"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1649,2</w:t>
            </w:r>
          </w:p>
        </w:tc>
        <w:tc>
          <w:tcPr>
            <w:tcW w:w="93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1648,8</w:t>
            </w:r>
          </w:p>
        </w:tc>
      </w:tr>
      <w:tr>
        <w:trPr/>
        <w:tc>
          <w:tcPr>
            <w:tcW w:w="482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both"/>
              <w:rPr>
                <w:rFonts w:ascii="Times New Roman" w:hAnsi="Times New Roman"/>
                <w:lang w:val="ru-RU"/>
              </w:rPr>
            </w:pPr>
            <w:r>
              <w:rPr>
                <w:rFonts w:ascii="Times New Roman" w:hAnsi="Times New Roman"/>
                <w:lang w:val="ru-RU"/>
              </w:rPr>
              <w:t>в т.ч. пашня</w:t>
            </w:r>
          </w:p>
        </w:tc>
        <w:tc>
          <w:tcPr>
            <w:tcW w:w="101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751,4</w:t>
            </w:r>
          </w:p>
        </w:tc>
        <w:tc>
          <w:tcPr>
            <w:tcW w:w="1017"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751,8</w:t>
            </w:r>
          </w:p>
        </w:tc>
        <w:tc>
          <w:tcPr>
            <w:tcW w:w="101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754,1</w:t>
            </w:r>
          </w:p>
        </w:tc>
        <w:tc>
          <w:tcPr>
            <w:tcW w:w="1017"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754,4</w:t>
            </w:r>
          </w:p>
        </w:tc>
        <w:tc>
          <w:tcPr>
            <w:tcW w:w="93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754,8</w:t>
            </w:r>
          </w:p>
        </w:tc>
      </w:tr>
      <w:tr>
        <w:trPr/>
        <w:tc>
          <w:tcPr>
            <w:tcW w:w="482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both"/>
              <w:rPr>
                <w:rFonts w:ascii="Times New Roman" w:hAnsi="Times New Roman"/>
                <w:lang w:val="ru-RU"/>
              </w:rPr>
            </w:pPr>
            <w:r>
              <w:rPr>
                <w:rFonts w:ascii="Times New Roman" w:hAnsi="Times New Roman"/>
                <w:lang w:val="ru-RU"/>
              </w:rPr>
              <w:t>в т.ч. сенокосы</w:t>
            </w:r>
          </w:p>
        </w:tc>
        <w:tc>
          <w:tcPr>
            <w:tcW w:w="101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357,5</w:t>
            </w:r>
          </w:p>
        </w:tc>
        <w:tc>
          <w:tcPr>
            <w:tcW w:w="1017"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358,1</w:t>
            </w:r>
          </w:p>
        </w:tc>
        <w:tc>
          <w:tcPr>
            <w:tcW w:w="101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361,2</w:t>
            </w:r>
          </w:p>
        </w:tc>
        <w:tc>
          <w:tcPr>
            <w:tcW w:w="1017"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361,3</w:t>
            </w:r>
          </w:p>
        </w:tc>
        <w:tc>
          <w:tcPr>
            <w:tcW w:w="93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361,4</w:t>
            </w:r>
          </w:p>
        </w:tc>
      </w:tr>
      <w:tr>
        <w:trPr/>
        <w:tc>
          <w:tcPr>
            <w:tcW w:w="482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both"/>
              <w:rPr>
                <w:rFonts w:ascii="Times New Roman" w:hAnsi="Times New Roman"/>
                <w:lang w:val="ru-RU"/>
              </w:rPr>
            </w:pPr>
            <w:r>
              <w:rPr>
                <w:rFonts w:ascii="Times New Roman" w:hAnsi="Times New Roman"/>
                <w:lang w:val="ru-RU"/>
              </w:rPr>
              <w:t>в т.ч. пастбища</w:t>
            </w:r>
          </w:p>
        </w:tc>
        <w:tc>
          <w:tcPr>
            <w:tcW w:w="1016"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450,9</w:t>
            </w:r>
          </w:p>
        </w:tc>
        <w:tc>
          <w:tcPr>
            <w:tcW w:w="1017"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450,3</w:t>
            </w:r>
          </w:p>
        </w:tc>
        <w:tc>
          <w:tcPr>
            <w:tcW w:w="1018"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446,0</w:t>
            </w:r>
          </w:p>
        </w:tc>
        <w:tc>
          <w:tcPr>
            <w:tcW w:w="1017"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445,7</w:t>
            </w:r>
          </w:p>
        </w:tc>
        <w:tc>
          <w:tcPr>
            <w:tcW w:w="93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jc w:val="center"/>
              <w:rPr>
                <w:rFonts w:ascii="Times New Roman" w:hAnsi="Times New Roman"/>
                <w:lang w:val="ru-RU"/>
              </w:rPr>
            </w:pPr>
            <w:r>
              <w:rPr>
                <w:rFonts w:ascii="Times New Roman" w:hAnsi="Times New Roman"/>
                <w:lang w:val="ru-RU"/>
              </w:rPr>
              <w:t>445,9</w:t>
            </w:r>
          </w:p>
        </w:tc>
      </w:tr>
    </w:tbl>
    <w:p>
      <w:pPr>
        <w:pStyle w:val="NormalWeb"/>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Web"/>
        <w:spacing w:lineRule="auto" w:line="240" w:before="0" w:after="0"/>
        <w:jc w:val="center"/>
        <w:rPr>
          <w:rFonts w:ascii="Times New Roman" w:hAnsi="Times New Roman" w:cs="Times New Roman"/>
          <w:b/>
          <w:b/>
          <w:sz w:val="28"/>
          <w:szCs w:val="28"/>
          <w:lang w:val="ru-RU"/>
        </w:rPr>
      </w:pPr>
      <w:bookmarkStart w:id="233" w:name="_Toc3032273"/>
      <w:bookmarkStart w:id="234" w:name="_Toc34212844"/>
      <w:bookmarkStart w:id="235" w:name="_Toc34558215"/>
      <w:bookmarkStart w:id="236" w:name="_Toc34559015"/>
      <w:bookmarkStart w:id="237" w:name="_Toc34559192"/>
      <w:bookmarkStart w:id="238" w:name="_Toc34560044"/>
      <w:bookmarkStart w:id="239" w:name="_Toc34560092"/>
      <w:bookmarkStart w:id="240" w:name="_Toc34560182"/>
      <w:bookmarkStart w:id="241" w:name="_Toc65489226"/>
      <w:bookmarkStart w:id="242" w:name="_Toc96823395"/>
      <w:bookmarkStart w:id="243" w:name="_Toc97106169"/>
      <w:bookmarkStart w:id="244" w:name="_Toc130628068"/>
      <w:bookmarkStart w:id="245" w:name="_Toc256850169"/>
      <w:r>
        <w:rPr>
          <w:rFonts w:cs="Times New Roman" w:ascii="Times New Roman" w:hAnsi="Times New Roman"/>
          <w:b/>
          <w:sz w:val="28"/>
          <w:szCs w:val="28"/>
          <w:lang w:val="ru-RU"/>
        </w:rPr>
        <w:t>1.2.2. Земли под водой, включая болота</w:t>
      </w:r>
      <w:bookmarkEnd w:id="233"/>
      <w:bookmarkEnd w:id="234"/>
      <w:bookmarkEnd w:id="235"/>
      <w:bookmarkEnd w:id="236"/>
      <w:bookmarkEnd w:id="237"/>
      <w:bookmarkEnd w:id="238"/>
      <w:bookmarkEnd w:id="239"/>
      <w:bookmarkEnd w:id="240"/>
      <w:bookmarkEnd w:id="241"/>
      <w:bookmarkEnd w:id="242"/>
      <w:bookmarkEnd w:id="243"/>
      <w:bookmarkEnd w:id="244"/>
      <w:bookmarkEnd w:id="245"/>
    </w:p>
    <w:p>
      <w:pPr>
        <w:pStyle w:val="NormalWeb"/>
        <w:spacing w:lineRule="auto" w:line="240" w:before="0" w:after="200"/>
        <w:ind w:firstLine="567"/>
        <w:contextualSpacing/>
        <w:jc w:val="both"/>
        <w:rPr>
          <w:rFonts w:ascii="Times New Roman" w:hAnsi="Times New Roman"/>
          <w:sz w:val="28"/>
          <w:szCs w:val="28"/>
          <w:lang w:val="ru-RU"/>
        </w:rPr>
      </w:pPr>
      <w:r>
        <w:rPr>
          <w:rFonts w:ascii="Times New Roman" w:hAnsi="Times New Roman"/>
          <w:sz w:val="28"/>
          <w:szCs w:val="28"/>
          <w:lang w:val="ru-RU"/>
        </w:rPr>
      </w:r>
      <w:bookmarkStart w:id="246" w:name="_Toc34212846"/>
      <w:bookmarkStart w:id="247" w:name="_Toc34558217"/>
      <w:bookmarkStart w:id="248" w:name="_Toc34559017"/>
      <w:bookmarkStart w:id="249" w:name="_Toc34559194"/>
      <w:bookmarkStart w:id="250" w:name="_Toc34560046"/>
      <w:bookmarkStart w:id="251" w:name="_Toc34560093"/>
      <w:bookmarkStart w:id="252" w:name="_Toc34560183"/>
      <w:bookmarkStart w:id="253" w:name="_Toc65489227"/>
      <w:bookmarkStart w:id="254" w:name="_Toc96823396"/>
      <w:bookmarkStart w:id="255" w:name="_Toc97106170"/>
      <w:bookmarkStart w:id="256" w:name="_Toc130628069"/>
      <w:bookmarkStart w:id="257" w:name="_Toc256850170"/>
      <w:bookmarkStart w:id="258" w:name="_Toc476047091"/>
      <w:bookmarkStart w:id="259" w:name="_Toc476047151"/>
      <w:bookmarkStart w:id="260" w:name="_Toc3032274"/>
      <w:bookmarkStart w:id="261" w:name="_Toc34212846"/>
      <w:bookmarkStart w:id="262" w:name="_Toc34558217"/>
      <w:bookmarkStart w:id="263" w:name="_Toc34559017"/>
      <w:bookmarkStart w:id="264" w:name="_Toc34559194"/>
      <w:bookmarkStart w:id="265" w:name="_Toc34560046"/>
      <w:bookmarkStart w:id="266" w:name="_Toc34560093"/>
      <w:bookmarkStart w:id="267" w:name="_Toc34560183"/>
      <w:bookmarkStart w:id="268" w:name="_Toc65489227"/>
      <w:bookmarkStart w:id="269" w:name="_Toc96823396"/>
      <w:bookmarkStart w:id="270" w:name="_Toc97106170"/>
      <w:bookmarkStart w:id="271" w:name="_Toc130628069"/>
      <w:bookmarkStart w:id="272" w:name="_Toc256850170"/>
      <w:bookmarkStart w:id="273" w:name="_Toc476047091"/>
      <w:bookmarkStart w:id="274" w:name="_Toc476047151"/>
      <w:bookmarkStart w:id="275" w:name="_Toc3032274"/>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Земли под водой и болотами имеются во всех категориях земель. Площадь этих угодий (земель) на территории Приморского края по состоянию на 01.01.2017 составляет 891,3 тыс. га (5,4 % от общей площади земель края).  В эту группу земель отнесены земли под водой (реками, ручьями, озерами, водохранилищами, прудами, искусственными водоемами, осушительными и оросительными каналами) и болотами, как вошедшие в состав категории земель водного фонда, так и расположенные на землях других категорий.</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Наиболее крупные водные объекты - реки Уссури, Большая Уссурка, Малиновка, Арсеньевка, Раздольная. Реки имеют преимущественно дождевое питание и в период значительного выпадения осадков выходят из берегов, нанося значительные разрушения сельскохозяйственным угодьям и населенным пунктам, расположенным в поймах рек.</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Значительные площади озер и болот расположены на западе и юге края в Приханкайской низменности, в поймах рек Илистая, Сунгач, приустьевой части реки Туманная.</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Самое крупное озеро – Ханка, 2/3 территории которого расположено на территории Приморского края, площадью 3 тыс. кв. км.</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Болотами занято 466,7 тыс. га (2,8 % территории края), большая часть которых находится на землях запаса (175,9 тыс. га) и землях лесного фонда (133,7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Общая площадь под водой (водными объектами) на землях всех категорий в Приморском крае составляет 424,6 тыс. га, большая часть водных объектов находятся на землях водного фонда – 322,2 тыс. га, на землях лесного фонда – 35,7 тыс. га, на землях сельскохозяйственного назначения – 34,2 тыс. га. Состав земель под водными объектами и болотами Приморского края представлен на диаграмме (рис. 8).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r>
    </w:p>
    <w:p>
      <w:pPr>
        <w:pStyle w:val="NormalWeb"/>
        <w:spacing w:lineRule="auto" w:line="240" w:before="0" w:after="200"/>
        <w:contextualSpacing/>
        <w:jc w:val="both"/>
        <w:rPr>
          <w:rFonts w:ascii="Times New Roman" w:hAnsi="Times New Roman"/>
          <w:sz w:val="28"/>
          <w:szCs w:val="28"/>
          <w:lang w:val="ru-RU"/>
        </w:rPr>
      </w:pPr>
      <w:r>
        <w:rPr/>
        <w:drawing>
          <wp:inline distT="0" distB="0" distL="0" distR="0">
            <wp:extent cx="5934075" cy="1638300"/>
            <wp:effectExtent l="0" t="0" r="0" b="0"/>
            <wp:docPr id="18"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descr=""/>
                    <pic:cNvPicPr>
                      <a:picLocks noChangeAspect="1" noChangeArrowheads="1"/>
                    </pic:cNvPicPr>
                  </pic:nvPicPr>
                  <pic:blipFill>
                    <a:blip r:embed="rId69"/>
                    <a:stretch>
                      <a:fillRect/>
                    </a:stretch>
                  </pic:blipFill>
                  <pic:spPr bwMode="auto">
                    <a:xfrm>
                      <a:off x="0" y="0"/>
                      <a:ext cx="5934075" cy="1638300"/>
                    </a:xfrm>
                    <a:prstGeom prst="rect">
                      <a:avLst/>
                    </a:prstGeom>
                    <a:ln w="9525">
                      <a:solidFill>
                        <a:srgbClr val="000000"/>
                      </a:solidFill>
                    </a:ln>
                  </pic:spPr>
                </pic:pic>
              </a:graphicData>
            </a:graphic>
          </wp:inline>
        </w:drawing>
      </w:r>
    </w:p>
    <w:p>
      <w:pPr>
        <w:pStyle w:val="NormalWeb"/>
        <w:jc w:val="center"/>
        <w:rPr>
          <w:rFonts w:ascii="Times New Roman" w:hAnsi="Times New Roman" w:cs="Times New Roman"/>
          <w:b/>
          <w:b/>
          <w:szCs w:val="24"/>
          <w:lang w:val="ru-RU"/>
        </w:rPr>
      </w:pPr>
      <w:r>
        <w:rPr>
          <w:rFonts w:cs="Times New Roman" w:ascii="Times New Roman" w:hAnsi="Times New Roman"/>
          <w:b/>
          <w:szCs w:val="24"/>
          <w:lang w:val="ru-RU"/>
        </w:rPr>
        <w:t>Рис. 8. Состав земель под водными объектами и болотами в 2016 году</w:t>
      </w:r>
    </w:p>
    <w:p>
      <w:pPr>
        <w:pStyle w:val="NormalWeb"/>
        <w:spacing w:lineRule="auto" w:line="240" w:before="0" w:after="0"/>
        <w:jc w:val="center"/>
        <w:rPr>
          <w:rFonts w:ascii="Times New Roman" w:hAnsi="Times New Roman" w:cs="Times New Roman"/>
          <w:b/>
          <w:b/>
          <w:szCs w:val="24"/>
          <w:lang w:val="ru-RU"/>
        </w:rPr>
      </w:pPr>
      <w:r>
        <w:rPr>
          <w:rFonts w:cs="Times New Roman" w:ascii="Times New Roman" w:hAnsi="Times New Roman"/>
          <w:b/>
          <w:szCs w:val="24"/>
          <w:lang w:val="ru-RU"/>
        </w:rPr>
      </w:r>
    </w:p>
    <w:p>
      <w:pPr>
        <w:pStyle w:val="NormalWeb"/>
        <w:spacing w:lineRule="auto" w:line="240" w:before="0" w:after="0"/>
        <w:jc w:val="center"/>
        <w:rPr>
          <w:rFonts w:ascii="Times New Roman" w:hAnsi="Times New Roman" w:cs="Times New Roman"/>
          <w:b/>
          <w:b/>
          <w:sz w:val="28"/>
          <w:szCs w:val="28"/>
          <w:lang w:val="ru-RU"/>
        </w:rPr>
      </w:pPr>
      <w:bookmarkStart w:id="276" w:name="_Toc34212846"/>
      <w:bookmarkStart w:id="277" w:name="_Toc34558217"/>
      <w:bookmarkStart w:id="278" w:name="_Toc34559017"/>
      <w:bookmarkStart w:id="279" w:name="_Toc34559194"/>
      <w:bookmarkStart w:id="280" w:name="_Toc34560046"/>
      <w:bookmarkStart w:id="281" w:name="_Toc34560093"/>
      <w:bookmarkStart w:id="282" w:name="_Toc34560183"/>
      <w:bookmarkStart w:id="283" w:name="_Toc65489227"/>
      <w:bookmarkStart w:id="284" w:name="_Toc96823396"/>
      <w:bookmarkStart w:id="285" w:name="_Toc97106170"/>
      <w:bookmarkStart w:id="286" w:name="_Toc130628069"/>
      <w:bookmarkStart w:id="287" w:name="_Toc256850170"/>
      <w:bookmarkStart w:id="288" w:name="_Toc476047091"/>
      <w:bookmarkStart w:id="289" w:name="_Toc476047151"/>
      <w:bookmarkStart w:id="290" w:name="_Toc3032274"/>
      <w:r>
        <w:rPr>
          <w:rFonts w:cs="Times New Roman" w:ascii="Times New Roman" w:hAnsi="Times New Roman"/>
          <w:b/>
          <w:sz w:val="28"/>
          <w:szCs w:val="28"/>
          <w:lang w:val="ru-RU"/>
        </w:rPr>
        <w:t>1.2.3. Земли застройки</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pPr>
        <w:pStyle w:val="NormalWeb"/>
        <w:spacing w:lineRule="auto" w:line="240"/>
        <w:jc w:val="center"/>
        <w:rPr>
          <w:rFonts w:ascii="Times New Roman" w:hAnsi="Times New Roman" w:cs="Times New Roman"/>
          <w:b/>
          <w:b/>
          <w:sz w:val="28"/>
          <w:szCs w:val="28"/>
          <w:lang w:val="ru-RU"/>
        </w:rPr>
      </w:pPr>
      <w:r>
        <w:rPr>
          <w:rFonts w:cs="Times New Roman" w:ascii="Times New Roman" w:hAnsi="Times New Roman"/>
          <w:b/>
          <w:sz w:val="28"/>
          <w:szCs w:val="28"/>
          <w:lang w:val="ru-RU"/>
        </w:rPr>
        <mc:AlternateContent>
          <mc:Choice Requires="wps">
            <w:drawing>
              <wp:anchor behindDoc="0" distT="0" distB="0" distL="89535" distR="113665" simplePos="0" locked="0" layoutInCell="0" allowOverlap="1" relativeHeight="13" wp14:anchorId="208B7331">
                <wp:simplePos x="0" y="0"/>
                <wp:positionH relativeFrom="column">
                  <wp:posOffset>-33655</wp:posOffset>
                </wp:positionH>
                <wp:positionV relativeFrom="paragraph">
                  <wp:posOffset>323215</wp:posOffset>
                </wp:positionV>
                <wp:extent cx="2533650" cy="1533525"/>
                <wp:effectExtent l="24130" t="24130" r="77470" b="77470"/>
                <wp:wrapSquare wrapText="bothSides"/>
                <wp:docPr id="19" name="Рисунок 57" descr="imgout"/>
                <a:graphic xmlns:a="http://schemas.openxmlformats.org/drawingml/2006/main">
                  <a:graphicData uri="http://schemas.openxmlformats.org/drawingml/2006/picture">
                    <pic:pic xmlns:pic="http://schemas.openxmlformats.org/drawingml/2006/picture">
                      <pic:nvPicPr>
                        <pic:cNvPr id="6" name="Рисунок 57" descr="imgout"/>
                        <pic:cNvPicPr/>
                      </pic:nvPicPr>
                      <pic:blipFill>
                        <a:blip r:embed="rId70"/>
                        <a:stretch/>
                      </pic:blipFill>
                      <pic:spPr>
                        <a:xfrm>
                          <a:off x="0" y="0"/>
                          <a:ext cx="2533680" cy="1533600"/>
                        </a:xfrm>
                        <a:prstGeom prst="rect">
                          <a:avLst/>
                        </a:prstGeom>
                        <a:ln w="0">
                          <a:noFill/>
                        </a:ln>
                        <a:effectLst>
                          <a:outerShdw algn="tl" blurRad="50760" dir="2700000" dist="37674" rotWithShape="0">
                            <a:srgbClr val="000000">
                              <a:alpha val="40000"/>
                            </a:srgbClr>
                          </a:outerShdw>
                        </a:effectLst>
                      </pic:spPr>
                    </pic:pic>
                  </a:graphicData>
                </a:graphic>
              </wp:anchor>
            </w:drawing>
          </mc:Choice>
          <mc:Fallback>
            <w:pict>
              <v:shape id="shape_0" ID="Рисунок 57" stroked="f" o:allowincell="f" style="position:absolute;margin-left:-2.65pt;margin-top:25.45pt;width:199.45pt;height:120.7pt;mso-wrap-style:none;v-text-anchor:middle" wp14:anchorId="208B7331" type="_x0000_t75">
                <v:imagedata r:id="rId70" o:detectmouseclick="t"/>
                <v:stroke color="#3465a4" joinstyle="round" endcap="flat"/>
                <w10:wrap type="square"/>
              </v:shape>
            </w:pict>
          </mc:Fallback>
        </mc:AlternateContent>
      </w:r>
    </w:p>
    <w:p>
      <w:pPr>
        <w:pStyle w:val="NormalWeb"/>
        <w:spacing w:lineRule="auto" w:line="240" w:before="0" w:after="200"/>
        <w:ind w:firstLine="709"/>
        <w:contextualSpacing/>
        <w:jc w:val="both"/>
        <w:rPr>
          <w:rFonts w:ascii="Times New Roman" w:hAnsi="Times New Roman"/>
          <w:sz w:val="28"/>
          <w:szCs w:val="28"/>
          <w:lang w:val="ru-RU"/>
        </w:rPr>
      </w:pPr>
      <w:bookmarkStart w:id="291" w:name="_Toc34212847"/>
      <w:bookmarkStart w:id="292" w:name="_Toc34558218"/>
      <w:bookmarkStart w:id="293" w:name="_Toc34559018"/>
      <w:bookmarkStart w:id="294" w:name="_Toc34559195"/>
      <w:bookmarkStart w:id="295" w:name="_Toc34560047"/>
      <w:bookmarkStart w:id="296" w:name="_Toc34560094"/>
      <w:bookmarkStart w:id="297" w:name="_Toc34560184"/>
      <w:bookmarkStart w:id="298" w:name="_Toc65489228"/>
      <w:bookmarkStart w:id="299" w:name="_Toc96823397"/>
      <w:bookmarkStart w:id="300" w:name="_Toc97106171"/>
      <w:bookmarkStart w:id="301" w:name="_Toc130628070"/>
      <w:bookmarkStart w:id="302" w:name="_Toc256850171"/>
      <w:r>
        <w:rPr>
          <w:rFonts w:ascii="Times New Roman" w:hAnsi="Times New Roman"/>
          <w:sz w:val="28"/>
          <w:szCs w:val="28"/>
          <w:lang w:val="ru-RU"/>
        </w:rPr>
        <w:t>Общая площадь под землями застройки на территории Приморского края по состоянию на 01.01.2017 составляет – 110,1 тыс. га (0,67 % всей территории края).</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Земли застройки в составе земель всех категорий на территории Приморского края – это земли под зданиями, строениями, сооружениями, а также земельные участки, необходимые для их эксплуатации и обслуживания. Земли застройки включают земельные участки жилой и общественно-деловой застройки, а также промышленной, коммерческой и коммунально-складской застройки.</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В пределах границ городских и сельских населенных пунктов края расположено 69,4% этих земель (76,4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На долю застройки в городах приходится 62 % от общих площадей земель застройки населенных пунктов (47,4 тыс. га). Площадь застройки в сельских населенных пунктах составляет 29 тыс. га (38 %), и сосредоточена, в основном, в жилой, общественно-деловой и производственной зонах. Остальные земли застройки расположены в других категориях земель (рис.9).</w:t>
      </w:r>
    </w:p>
    <w:p>
      <w:pPr>
        <w:pStyle w:val="NormalWeb"/>
        <w:spacing w:lineRule="auto" w:line="240" w:before="0" w:after="200"/>
        <w:contextualSpacing/>
        <w:jc w:val="both"/>
        <w:rPr>
          <w:rFonts w:ascii="Times New Roman" w:hAnsi="Times New Roman"/>
          <w:sz w:val="28"/>
          <w:szCs w:val="28"/>
          <w:lang w:val="ru-RU"/>
        </w:rPr>
      </w:pPr>
      <w:r>
        <w:rPr/>
        <w:drawing>
          <wp:inline distT="0" distB="0" distL="0" distR="0">
            <wp:extent cx="4069080" cy="1859280"/>
            <wp:effectExtent l="0" t="0" r="0" b="0"/>
            <wp:docPr id="20" name="Объект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Normal"/>
        <w:spacing w:before="0" w:after="0"/>
        <w:ind w:firstLine="720"/>
        <w:jc w:val="center"/>
        <w:rPr>
          <w:rFonts w:ascii="Times New Roman" w:hAnsi="Times New Roman" w:cs="Times New Roman"/>
          <w:b/>
          <w:b/>
          <w:sz w:val="24"/>
          <w:szCs w:val="24"/>
        </w:rPr>
      </w:pPr>
      <w:r>
        <w:rPr>
          <w:rFonts w:cs="Times New Roman" w:ascii="Times New Roman" w:hAnsi="Times New Roman"/>
          <w:b/>
          <w:sz w:val="24"/>
          <w:szCs w:val="24"/>
        </w:rPr>
        <w:t>Рис. 9. Земли застройки Приморского края в 2016 году</w:t>
      </w:r>
    </w:p>
    <w:p>
      <w:pPr>
        <w:pStyle w:val="Normal"/>
        <w:spacing w:before="0" w:after="0"/>
        <w:ind w:firstLine="720"/>
        <w:jc w:val="center"/>
        <w:rPr>
          <w:rFonts w:ascii="Times New Roman" w:hAnsi="Times New Roman" w:cs="Times New Roman"/>
          <w:b/>
          <w:b/>
          <w:sz w:val="24"/>
          <w:szCs w:val="24"/>
        </w:rPr>
      </w:pPr>
      <w:r>
        <w:rPr>
          <w:rFonts w:cs="Times New Roman" w:ascii="Times New Roman" w:hAnsi="Times New Roman"/>
          <w:b/>
          <w:sz w:val="24"/>
          <w:szCs w:val="24"/>
        </w:rPr>
      </w:r>
    </w:p>
    <w:p>
      <w:pPr>
        <w:pStyle w:val="NormalWeb"/>
        <w:spacing w:before="0" w:after="0"/>
        <w:jc w:val="center"/>
        <w:rPr>
          <w:rFonts w:ascii="Times New Roman" w:hAnsi="Times New Roman" w:cs="Times New Roman"/>
          <w:b/>
          <w:b/>
          <w:sz w:val="28"/>
          <w:szCs w:val="28"/>
          <w:lang w:val="ru-RU"/>
        </w:rPr>
      </w:pPr>
      <w:bookmarkStart w:id="303" w:name="_Toc34212847"/>
      <w:bookmarkStart w:id="304" w:name="_Toc34558218"/>
      <w:bookmarkStart w:id="305" w:name="_Toc34559018"/>
      <w:bookmarkStart w:id="306" w:name="_Toc34559195"/>
      <w:bookmarkStart w:id="307" w:name="_Toc34560047"/>
      <w:bookmarkStart w:id="308" w:name="_Toc34560094"/>
      <w:bookmarkStart w:id="309" w:name="_Toc34560184"/>
      <w:bookmarkStart w:id="310" w:name="_Toc65489228"/>
      <w:bookmarkStart w:id="311" w:name="_Toc96823397"/>
      <w:bookmarkStart w:id="312" w:name="_Toc97106171"/>
      <w:bookmarkStart w:id="313" w:name="_Toc130628070"/>
      <w:bookmarkStart w:id="314" w:name="_Toc256850171"/>
      <w:r>
        <w:rPr>
          <w:rFonts w:cs="Times New Roman" w:ascii="Times New Roman" w:hAnsi="Times New Roman"/>
          <w:b/>
          <w:sz w:val="28"/>
          <w:szCs w:val="28"/>
          <w:lang w:val="ru-RU"/>
        </w:rPr>
        <w:t>1.2.4. Земли под дорогами</w:t>
      </w:r>
      <w:bookmarkEnd w:id="303"/>
      <w:bookmarkEnd w:id="304"/>
      <w:bookmarkEnd w:id="305"/>
      <w:bookmarkEnd w:id="306"/>
      <w:bookmarkEnd w:id="307"/>
      <w:bookmarkEnd w:id="308"/>
      <w:bookmarkEnd w:id="309"/>
      <w:bookmarkEnd w:id="310"/>
      <w:bookmarkEnd w:id="311"/>
      <w:bookmarkEnd w:id="312"/>
      <w:bookmarkEnd w:id="313"/>
      <w:bookmarkEnd w:id="314"/>
    </w:p>
    <w:p>
      <w:pPr>
        <w:pStyle w:val="NormalWeb"/>
        <w:spacing w:lineRule="auto" w:line="240" w:before="0" w:after="0"/>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before="0" w:after="0"/>
        <w:rPr>
          <w:rFonts w:ascii="Times New Roman" w:hAnsi="Times New Roman"/>
          <w:sz w:val="28"/>
          <w:szCs w:val="28"/>
          <w:lang w:val="ru-RU"/>
        </w:rPr>
      </w:pPr>
      <w:r>
        <w:drawing>
          <wp:anchor behindDoc="0" distT="0" distB="0" distL="114300" distR="114300" simplePos="0" locked="0" layoutInCell="0" allowOverlap="1" relativeHeight="16">
            <wp:simplePos x="0" y="0"/>
            <wp:positionH relativeFrom="column">
              <wp:posOffset>15240</wp:posOffset>
            </wp:positionH>
            <wp:positionV relativeFrom="paragraph">
              <wp:posOffset>-4445</wp:posOffset>
            </wp:positionV>
            <wp:extent cx="2200275" cy="1428750"/>
            <wp:effectExtent l="0" t="0" r="0" b="0"/>
            <wp:wrapThrough wrapText="bothSides">
              <wp:wrapPolygon edited="0">
                <wp:start x="-236" y="0"/>
                <wp:lineTo x="-236" y="21195"/>
                <wp:lineTo x="21600" y="21195"/>
                <wp:lineTo x="21600" y="0"/>
                <wp:lineTo x="-236" y="0"/>
              </wp:wrapPolygon>
            </wp:wrapThrough>
            <wp:docPr id="21" name="Изображение3" descr="D:\Региональный доклад_2014\фото\iCA0STP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3" descr="D:\Региональный доклад_2014\фото\iCA0STPU7.jpg"/>
                    <pic:cNvPicPr>
                      <a:picLocks noChangeAspect="1" noChangeArrowheads="1"/>
                    </pic:cNvPicPr>
                  </pic:nvPicPr>
                  <pic:blipFill>
                    <a:blip r:embed="rId72"/>
                    <a:stretch>
                      <a:fillRect/>
                    </a:stretch>
                  </pic:blipFill>
                  <pic:spPr bwMode="auto">
                    <a:xfrm>
                      <a:off x="0" y="0"/>
                      <a:ext cx="2200275" cy="1428750"/>
                    </a:xfrm>
                    <a:prstGeom prst="rect">
                      <a:avLst/>
                    </a:prstGeom>
                  </pic:spPr>
                </pic:pic>
              </a:graphicData>
            </a:graphic>
          </wp:anchor>
        </w:drawing>
      </w:r>
      <w:r>
        <w:rPr>
          <w:rFonts w:ascii="Times New Roman" w:hAnsi="Times New Roman"/>
          <w:sz w:val="28"/>
          <w:szCs w:val="28"/>
          <w:lang w:val="ru-RU"/>
        </w:rPr>
        <w:t xml:space="preserve">          </w:t>
      </w:r>
      <w:r>
        <w:rPr>
          <w:rFonts w:ascii="Times New Roman" w:hAnsi="Times New Roman"/>
          <w:sz w:val="28"/>
          <w:szCs w:val="28"/>
          <w:lang w:val="ru-RU"/>
        </w:rPr>
        <w:t>Площадь        земель     под      дорогами Приморского     края  на   1  января  2017 года составила 101,4 ты</w:t>
      </w:r>
      <w:r>
        <w:rPr>
          <w:rFonts w:ascii="Times New Roman" w:hAnsi="Times New Roman"/>
          <w:sz w:val="28"/>
          <w:szCs w:val="28"/>
        </w:rPr>
        <w:t>c</w:t>
      </w:r>
      <w:r>
        <w:rPr>
          <w:rFonts w:ascii="Times New Roman" w:hAnsi="Times New Roman"/>
          <w:sz w:val="28"/>
          <w:szCs w:val="28"/>
          <w:lang w:val="ru-RU"/>
        </w:rPr>
        <w:t xml:space="preserve">. га. </w:t>
      </w:r>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 эти угодья включены земли, расположенные в полосах отвода автомобильных и железных дорог, а также скотопрогоны, улицы, проезды, проспекты, площади, иные пути сообщения.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Большая часть земель под дорогами присутствует в категории земель промышленности, транспорта, связи и иного назначения – 27,2 тыс. га, на землях лесного фонда – 21,9 тыс. га, на землях населенных пунктов – 22,7 тыс. га, на землях сельскохозяйственного назначения – 18,4 тыс. га, на землях запаса – 10,6 тыс. га.</w:t>
      </w:r>
    </w:p>
    <w:p>
      <w:pPr>
        <w:pStyle w:val="NormalWeb"/>
        <w:spacing w:lineRule="auto" w:line="240" w:before="0" w:after="200"/>
        <w:ind w:firstLine="567"/>
        <w:contextualSpacing/>
        <w:jc w:val="both"/>
        <w:rPr>
          <w:rFonts w:ascii="Times New Roman" w:hAnsi="Times New Roman"/>
          <w:sz w:val="28"/>
          <w:szCs w:val="28"/>
          <w:lang w:val="ru-RU"/>
        </w:rPr>
      </w:pPr>
      <w:r>
        <w:rPr>
          <w:rFonts w:ascii="Times New Roman" w:hAnsi="Times New Roman"/>
          <w:sz w:val="28"/>
          <w:szCs w:val="28"/>
          <w:lang w:val="ru-RU"/>
        </w:rPr>
      </w:r>
    </w:p>
    <w:p>
      <w:pPr>
        <w:pStyle w:val="NormalWeb"/>
        <w:spacing w:lineRule="auto" w:line="240"/>
        <w:jc w:val="center"/>
        <w:rPr>
          <w:rFonts w:ascii="Times New Roman" w:hAnsi="Times New Roman" w:cs="Times New Roman"/>
          <w:b/>
          <w:b/>
          <w:i/>
          <w:i/>
          <w:iCs/>
          <w:sz w:val="28"/>
          <w:szCs w:val="28"/>
          <w:lang w:val="ru-RU"/>
        </w:rPr>
      </w:pPr>
      <w:bookmarkStart w:id="315" w:name="_Toc65489229"/>
      <w:bookmarkStart w:id="316" w:name="_Toc96823398"/>
      <w:bookmarkStart w:id="317" w:name="_Toc97106172"/>
      <w:bookmarkStart w:id="318" w:name="_Toc130628071"/>
      <w:bookmarkStart w:id="319" w:name="_Toc256850172"/>
      <w:bookmarkStart w:id="320" w:name="_Toc34212848"/>
      <w:bookmarkStart w:id="321" w:name="_Toc34558219"/>
      <w:bookmarkStart w:id="322" w:name="_Toc34559019"/>
      <w:bookmarkStart w:id="323" w:name="_Toc34559196"/>
      <w:bookmarkStart w:id="324" w:name="_Toc34560048"/>
      <w:bookmarkStart w:id="325" w:name="_Toc34560095"/>
      <w:bookmarkStart w:id="326" w:name="_Toc34560185"/>
      <w:r>
        <w:rPr>
          <w:rFonts w:cs="Times New Roman" w:ascii="Times New Roman" w:hAnsi="Times New Roman"/>
          <w:b/>
          <w:sz w:val="28"/>
          <w:szCs w:val="28"/>
          <w:lang w:val="ru-RU"/>
        </w:rPr>
        <w:t>1.2.5. Лесные площади и лесные насаждения,</w:t>
      </w:r>
      <w:bookmarkEnd w:id="320"/>
      <w:bookmarkEnd w:id="321"/>
      <w:bookmarkEnd w:id="322"/>
      <w:bookmarkEnd w:id="323"/>
      <w:bookmarkEnd w:id="324"/>
      <w:bookmarkEnd w:id="325"/>
      <w:bookmarkEnd w:id="326"/>
      <w:r>
        <w:rPr>
          <w:rFonts w:cs="Times New Roman" w:ascii="Times New Roman" w:hAnsi="Times New Roman"/>
          <w:b/>
          <w:sz w:val="28"/>
          <w:szCs w:val="28"/>
          <w:lang w:val="ru-RU"/>
        </w:rPr>
        <w:t xml:space="preserve"> </w:t>
      </w:r>
      <w:bookmarkStart w:id="327" w:name="_Toc34212849"/>
      <w:bookmarkStart w:id="328" w:name="_Toc34558220"/>
      <w:bookmarkStart w:id="329" w:name="_Toc34559020"/>
      <w:bookmarkStart w:id="330" w:name="_Toc34559197"/>
      <w:bookmarkStart w:id="331" w:name="_Toc34560049"/>
      <w:bookmarkStart w:id="332" w:name="_Toc34560096"/>
      <w:bookmarkStart w:id="333" w:name="_Toc34560186"/>
      <w:r>
        <w:rPr>
          <w:rFonts w:cs="Times New Roman" w:ascii="Times New Roman" w:hAnsi="Times New Roman"/>
          <w:b/>
          <w:sz w:val="28"/>
          <w:szCs w:val="28"/>
          <w:lang w:val="ru-RU"/>
        </w:rPr>
        <w:t>не входящие в лесной фонд</w:t>
      </w:r>
      <w:bookmarkEnd w:id="315"/>
      <w:bookmarkEnd w:id="316"/>
      <w:bookmarkEnd w:id="317"/>
      <w:bookmarkEnd w:id="318"/>
      <w:bookmarkEnd w:id="319"/>
      <w:bookmarkEnd w:id="327"/>
      <w:bookmarkEnd w:id="328"/>
      <w:bookmarkEnd w:id="329"/>
      <w:bookmarkEnd w:id="330"/>
      <w:bookmarkEnd w:id="331"/>
      <w:bookmarkEnd w:id="332"/>
      <w:bookmarkEnd w:id="333"/>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Лесными угодьями – лесными площадями, покрытыми лесной растительностью и не покрытыми ею, но предоставленными для ее восстановления, занято на территории края, по состоянию на 01.01.2017, 13024 тыс. га, что составляет 79,1 % всей территории Приморского края. Лесные земли (лесные угодья) в составе категории земель лесного фонда составляет 11772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Общая площадь лесных насаждений, не входящих в лесной фонд края (древесно-кустарниковая растительность), составляет 407,8 тыс. га (2,5% территории края).</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К древесно-кустарниковой растительности отнесены полезащитные лесные полосы и иная древесно-кустарниковая растительность на землях сельскохозяйственного назначения, защитные насаждения на полосах отводов железнодорожных магистралей, автомобильных дорог, каналов, озеленительные и другие древесно-кустарниковые насаждения (за исключением городских лесов на землях населенных пунктов).</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На землях сельскохозяйственного назначения находится 41% площадей древесно-кустарниковой растительности (167 тыс. га.) Площадь этих угодий на землях запаса составляет 152,1 тыс. га, что составляет 37,3% всех площадей древесно-кустарниковой растительности края.</w:t>
      </w:r>
    </w:p>
    <w:p>
      <w:pPr>
        <w:pStyle w:val="NormalWeb"/>
        <w:spacing w:lineRule="auto" w:line="240" w:before="0" w:after="0"/>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jc w:val="center"/>
        <w:rPr>
          <w:rFonts w:ascii="Times New Roman" w:hAnsi="Times New Roman" w:cs="Times New Roman"/>
          <w:b/>
          <w:b/>
          <w:sz w:val="28"/>
          <w:szCs w:val="28"/>
          <w:lang w:val="ru-RU"/>
        </w:rPr>
      </w:pPr>
      <w:r>
        <w:rPr>
          <w:rFonts w:cs="Times New Roman" w:ascii="Times New Roman" w:hAnsi="Times New Roman"/>
          <w:b/>
          <w:sz w:val="28"/>
          <w:szCs w:val="28"/>
          <w:lang w:val="ru-RU"/>
        </w:rPr>
        <w:t>1.2.6. Прочие  земли</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В земельном законодательстве к прочим землям относятся: овраги, пески, галечники, оползни, скалы, осыпи, наледи, полигоны отходов, свалки, территории консервации, деградированные, загрязненные и другие неиспользуемые земли.</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В 2016 году общее количество площадей, отнесенных к «прочим» на территории Приморского края составляет – 262,4 тыс. га, в том числе:</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полигоны отходов, свалки  </w:t>
        <w:tab/>
        <w:t>- 0,5 тыс. га  (0,2%)</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пески</w:t>
        <w:tab/>
        <w:tab/>
        <w:tab/>
        <w:tab/>
        <w:t>- 24,9 тыс. га  (9,5%)</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овраги</w:t>
        <w:tab/>
        <w:tab/>
        <w:tab/>
        <w:tab/>
        <w:t>- 63,2 тыс. га  (24,1%)</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другие земли</w:t>
        <w:tab/>
        <w:tab/>
        <w:tab/>
        <w:t>- 173,8 тыс. га  (66,2%).</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Вышеуказанные угодья, равно как и земли под водными объектами, болотами, дорогами, нарушенные земли слабо пригодны и не пригодны для сельскохозяйственного производства и не представляют большого интереса для потенциальных хозяйствующих субъектов.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К нарушенным землям отнесены земли, утратившие свою хозяйственную ценность или являющиеся источником отрицательного воздействия на окружающую среду в связи с нарушением почвенного покрова, гидрологического режима и образованием техногенного рельефа в результате производственной деятельности человека.</w:t>
      </w:r>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Нарушение земель происходит при разработке месторождений полезных ископаемых и торфа, выполнении геологоразведочных, изыскательских, строительных и др. работ. В этой связи на предприятиях, деятельность которых связана с нарушением земель, неотъемлемой частью технологических процессов являются работы по рекультивации земель (комплекс работ, направленных на восстановление продуктивности и другой ценности земель, а также на улучшение условий окружающей среды).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По состоянию на 01.01.2017 площадь нарушенных земель составила 16,8 тыс. га, в т.ч. на: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землях сельскохозяйственного назначения – 0,8 тыс. га (4,8%),</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землях населенных пунктов – 0,6 тыс. га (3,6%),</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землях промышленности – 12 тыс. га (71,4%),</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землях лесного фонда – 1,3 тыс. га (7,7%),</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землях запаса -2,1 тыс. га (12,5%).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Распределение нарушенных земель по категориям земель наглядно представлено на диаграмме (рис. 10).</w:t>
      </w:r>
    </w:p>
    <w:p>
      <w:pPr>
        <w:pStyle w:val="NormalWeb"/>
        <w:spacing w:lineRule="auto" w:line="240" w:before="0" w:after="200"/>
        <w:contextualSpacing/>
        <w:jc w:val="both"/>
        <w:rPr>
          <w:rFonts w:ascii="Times New Roman" w:hAnsi="Times New Roman"/>
          <w:sz w:val="28"/>
          <w:szCs w:val="28"/>
          <w:lang w:val="ru-RU"/>
        </w:rPr>
      </w:pPr>
      <w:r>
        <w:rPr/>
        <w:drawing>
          <wp:inline distT="0" distB="0" distL="0" distR="0">
            <wp:extent cx="5844540" cy="2049780"/>
            <wp:effectExtent l="0" t="0" r="0" b="0"/>
            <wp:docPr id="22" name="Объект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NormalWeb"/>
        <w:spacing w:before="0" w:after="0"/>
        <w:jc w:val="center"/>
        <w:rPr>
          <w:rFonts w:ascii="Times New Roman" w:hAnsi="Times New Roman" w:cs="Times New Roman"/>
          <w:b/>
          <w:b/>
          <w:szCs w:val="24"/>
          <w:lang w:val="ru-RU"/>
        </w:rPr>
      </w:pPr>
      <w:r>
        <w:rPr>
          <w:rFonts w:cs="Times New Roman" w:ascii="Times New Roman" w:hAnsi="Times New Roman"/>
          <w:b/>
          <w:szCs w:val="24"/>
          <w:lang w:val="ru-RU"/>
        </w:rPr>
        <w:t>Рис. 10. Распределение нарушенных земель по категориям земель</w:t>
      </w:r>
    </w:p>
    <w:p>
      <w:pPr>
        <w:pStyle w:val="NormalWeb"/>
        <w:spacing w:before="0" w:after="0"/>
        <w:jc w:val="center"/>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Web"/>
        <w:jc w:val="center"/>
        <w:rPr>
          <w:rFonts w:ascii="Times New Roman" w:hAnsi="Times New Roman" w:cs="Times New Roman"/>
          <w:sz w:val="28"/>
          <w:szCs w:val="28"/>
          <w:lang w:val="ru-RU"/>
        </w:rPr>
      </w:pPr>
      <w:r>
        <w:rPr>
          <w:rFonts w:cs="Times New Roman" w:ascii="Times New Roman" w:hAnsi="Times New Roman"/>
          <w:b/>
          <w:sz w:val="28"/>
          <w:szCs w:val="28"/>
          <w:lang w:val="ru-RU"/>
        </w:rPr>
        <w:t>1.2.7. Земли под оленьими пастбищами</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В Приморском крае отсутствуют земли под оленьими пастбищами.</w:t>
      </w:r>
    </w:p>
    <w:p>
      <w:pPr>
        <w:pStyle w:val="NormalWeb"/>
        <w:spacing w:lineRule="auto" w:line="240" w:before="0" w:after="0"/>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before="0" w:after="0"/>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jc w:val="center"/>
        <w:rPr>
          <w:rFonts w:ascii="Times New Roman" w:hAnsi="Times New Roman" w:cs="Times New Roman"/>
          <w:b/>
          <w:b/>
          <w:sz w:val="28"/>
          <w:szCs w:val="28"/>
          <w:lang w:val="ru-RU"/>
        </w:rPr>
      </w:pPr>
      <w:r>
        <w:rPr>
          <w:rFonts w:cs="Times New Roman" w:ascii="Times New Roman" w:hAnsi="Times New Roman"/>
          <w:b/>
          <w:sz w:val="28"/>
          <w:szCs w:val="28"/>
          <w:lang w:val="ru-RU"/>
        </w:rPr>
        <w:t xml:space="preserve">1.3. </w:t>
      </w:r>
      <w:bookmarkStart w:id="334" w:name="_Toc34212854"/>
      <w:bookmarkStart w:id="335" w:name="_Toc34558225"/>
      <w:bookmarkStart w:id="336" w:name="_Toc34559023"/>
      <w:bookmarkStart w:id="337" w:name="_Toc34559200"/>
      <w:bookmarkStart w:id="338" w:name="_Toc34560052"/>
      <w:bookmarkStart w:id="339" w:name="_Toc34560099"/>
      <w:bookmarkStart w:id="340" w:name="_Toc34560189"/>
      <w:bookmarkStart w:id="341" w:name="_Toc65489232"/>
      <w:bookmarkStart w:id="342" w:name="_Toc96823401"/>
      <w:bookmarkStart w:id="343" w:name="_Toc97106175"/>
      <w:r>
        <w:rPr>
          <w:rFonts w:cs="Times New Roman" w:ascii="Times New Roman" w:hAnsi="Times New Roman"/>
          <w:b/>
          <w:sz w:val="28"/>
          <w:szCs w:val="28"/>
          <w:lang w:val="ru-RU"/>
        </w:rPr>
        <w:t>РАСПРЕДЕЛЕНИЕ ЗЕМЕЛЬ ПО ФОРМАМ СОБСТВЕННОСТИ И ПРИНАДЛЕЖНОСТИ РОССИЙСКОЙ ФЕДЕРАЦИИ,  ПРИМОРСКОМУ КРАЮ И МУНИЦИПАЛЬНЫМ ОБРАЗОВАНИЯМ</w:t>
      </w:r>
      <w:bookmarkEnd w:id="334"/>
      <w:bookmarkEnd w:id="335"/>
      <w:bookmarkEnd w:id="336"/>
      <w:bookmarkEnd w:id="337"/>
      <w:bookmarkEnd w:id="338"/>
      <w:bookmarkEnd w:id="339"/>
      <w:bookmarkEnd w:id="340"/>
      <w:bookmarkEnd w:id="341"/>
      <w:bookmarkEnd w:id="342"/>
      <w:bookmarkEnd w:id="343"/>
    </w:p>
    <w:p>
      <w:pPr>
        <w:pStyle w:val="NormalWeb"/>
        <w:spacing w:lineRule="auto" w:line="240" w:before="0" w:after="200"/>
        <w:ind w:firstLine="709"/>
        <w:contextualSpacing/>
        <w:jc w:val="both"/>
        <w:rPr>
          <w:rFonts w:ascii="Times New Roman" w:hAnsi="Times New Roman"/>
          <w:sz w:val="28"/>
          <w:szCs w:val="28"/>
          <w:lang w:val="ru-RU"/>
        </w:rPr>
      </w:pPr>
      <w:bookmarkStart w:id="344" w:name="_Toc256850175"/>
      <w:bookmarkStart w:id="345" w:name="_Toc96823402"/>
      <w:bookmarkStart w:id="346" w:name="_Toc97106176"/>
      <w:bookmarkStart w:id="347" w:name="_Toc130628075"/>
      <w:r>
        <w:rPr>
          <w:rFonts w:ascii="Times New Roman" w:hAnsi="Times New Roman"/>
          <w:sz w:val="28"/>
          <w:szCs w:val="28"/>
          <w:lang w:val="ru-RU"/>
        </w:rPr>
        <w:t xml:space="preserve">В настоящее время процесс разграничения государственной собственности на землю в Приморском крае, равно как и в других субъектах Российской Федерации,  проходит в установленном порядке. </w:t>
      </w:r>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По данным государственного статистического наблюдения, осуществляемого Управлением Росреестра по Приморскому краю (форма 22-1), на 01.01.2017 в установленном порядке право собственности Российской Федерации на земельные участки в Приморском крае официально зарегистрировано на площади 8489,3 тыс. га, что составило 54,4</w:t>
      </w:r>
      <w:r>
        <w:rPr>
          <w:rFonts w:ascii="Times New Roman" w:hAnsi="Times New Roman"/>
          <w:sz w:val="28"/>
          <w:szCs w:val="28"/>
        </w:rPr>
        <w:t> </w:t>
      </w:r>
      <w:r>
        <w:rPr>
          <w:rFonts w:ascii="Times New Roman" w:hAnsi="Times New Roman"/>
          <w:sz w:val="28"/>
          <w:szCs w:val="28"/>
          <w:lang w:val="ru-RU"/>
        </w:rPr>
        <w:t xml:space="preserve">% от общей площади земель государственной и муниципальной собственности.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Собственность Приморского края на земельные участки по состоянию на 01.01.2017 зарегистрирована на общей площади 103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Собственность муниципальных образований края по состоянию на 01.01.2017 зарегистрирована на общей площади 183,8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Основанием возникновения права собственности на земельные участки у Российской Федерации, субъекта Российской Федерации и муниципальных образований являются действующие федеральные законы, прямо указывающие на принадлежность земель к субъекту собственности и акты Правительства Российской Федерации об утверждении Перечней земельных участков (федеральных, краевых, муниципальных). Распределение земель по формам собственности в разрезе муниципальных образований Приморского края представлено в приложении 3.</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91,9 % площади земель, представляющих собой собственность Российской Федерации на территории Приморского края (7799,2 тыс. га), составили земельные участки, относящиеся к категории лесного фонда.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4,5 % площади земель, представляющих собой собственность Российской Федерации на территории Приморского края (381,4 тыс. га), составили земельные участки, относящиеся к категории земель особо охраняемых территорий и объектов.</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2,8 % площади земель в собственности Российской Федерации на территории края (237,8 тыс.га) составили земли, отнесенные к категории промышленности, транспорта, энергетики и иного специального назначения.</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0,3 % площади всех официально зарегистрированных на праве собственности Российской Федерации земель приходятся на земли сельскохозяйственного назначения (29,4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 перечень объектов, под которыми сформированы земельные участки с целью регистрации права собственности Российской Федерацией, в основном входили: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на землях сельскохозяйственного назначения – государственные предприятия – опытные производственные хозяйства, племенные объединения, опытные селекционные станции, а также подсобные хозяйства министерства обороны;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на землях населенных пунктов – объекты Министерства обороны Российской Федерации, Министерства внутренних дел Российской Федерации, предприятия Министерства промышленности и энергетики Российской Федерации, Министерства транспорта и связи Российской Федерации (в т. ч. объекты железнодорожного транспорта, почты России и др.), научно-исследовательские институты и образовательные учреждения;</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на землях промышленности, энергетики, транспорта, связи, радиовещания, телевидения, информатики и другого специального назначения площади земель федеральной собственности составляли земельные участки, занятые объектами железнодорожного транспорта объектами обороны и безопасности;</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на землях лесного фонда – государственные учреждения научно-образовательной, научно-исследовательской или рекреационной деятельности, охотничьих хозяйств, заготовки лесных ресурсов.</w:t>
      </w:r>
    </w:p>
    <w:p>
      <w:pPr>
        <w:pStyle w:val="NormalWeb"/>
        <w:spacing w:lineRule="auto" w:line="240" w:before="0" w:after="0"/>
        <w:ind w:firstLine="709"/>
        <w:contextualSpacing/>
        <w:jc w:val="both"/>
        <w:rPr>
          <w:rFonts w:ascii="Times New Roman" w:hAnsi="Times New Roman" w:cs="Times New Roman"/>
          <w:sz w:val="24"/>
          <w:szCs w:val="24"/>
          <w:lang w:val="ru-RU"/>
        </w:rPr>
      </w:pPr>
      <w:r>
        <w:rPr>
          <w:rFonts w:ascii="Times New Roman" w:hAnsi="Times New Roman"/>
          <w:sz w:val="28"/>
          <w:szCs w:val="28"/>
          <w:lang w:val="ru-RU"/>
        </w:rPr>
        <w:t>По формам собственности в целом по Приморскому краю земли распределены следующим образом (таблица 8).</w:t>
      </w:r>
    </w:p>
    <w:p>
      <w:pPr>
        <w:pStyle w:val="NormalWeb"/>
        <w:tabs>
          <w:tab w:val="clear" w:pos="708"/>
          <w:tab w:val="center" w:pos="4153" w:leader="none"/>
        </w:tabs>
        <w:spacing w:before="0" w:after="0"/>
        <w:ind w:right="198" w:hanging="0"/>
        <w:jc w:val="right"/>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Web"/>
        <w:tabs>
          <w:tab w:val="clear" w:pos="708"/>
          <w:tab w:val="center" w:pos="4153" w:leader="none"/>
        </w:tabs>
        <w:spacing w:before="0" w:after="0"/>
        <w:ind w:right="198" w:hanging="0"/>
        <w:jc w:val="right"/>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Web"/>
        <w:tabs>
          <w:tab w:val="clear" w:pos="708"/>
          <w:tab w:val="center" w:pos="4153" w:leader="none"/>
        </w:tabs>
        <w:spacing w:before="0" w:after="0"/>
        <w:ind w:right="198" w:hanging="0"/>
        <w:jc w:val="right"/>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Web"/>
        <w:tabs>
          <w:tab w:val="clear" w:pos="708"/>
          <w:tab w:val="center" w:pos="4153" w:leader="none"/>
        </w:tabs>
        <w:spacing w:before="0" w:after="0"/>
        <w:ind w:right="198" w:hanging="0"/>
        <w:jc w:val="right"/>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Web"/>
        <w:tabs>
          <w:tab w:val="clear" w:pos="708"/>
          <w:tab w:val="center" w:pos="4153" w:leader="none"/>
        </w:tabs>
        <w:spacing w:before="0" w:after="0"/>
        <w:ind w:right="198" w:hanging="0"/>
        <w:jc w:val="right"/>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Web"/>
        <w:tabs>
          <w:tab w:val="clear" w:pos="708"/>
          <w:tab w:val="center" w:pos="4153" w:leader="none"/>
        </w:tabs>
        <w:spacing w:before="0" w:after="0"/>
        <w:ind w:right="198" w:hanging="0"/>
        <w:jc w:val="right"/>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Web"/>
        <w:tabs>
          <w:tab w:val="clear" w:pos="708"/>
          <w:tab w:val="center" w:pos="4153" w:leader="none"/>
        </w:tabs>
        <w:spacing w:before="0" w:after="0"/>
        <w:ind w:right="198" w:hanging="0"/>
        <w:jc w:val="right"/>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Web"/>
        <w:tabs>
          <w:tab w:val="clear" w:pos="708"/>
          <w:tab w:val="center" w:pos="4153" w:leader="none"/>
        </w:tabs>
        <w:spacing w:before="0" w:after="0"/>
        <w:ind w:right="198" w:hanging="0"/>
        <w:jc w:val="right"/>
        <w:rPr>
          <w:rFonts w:ascii="Times New Roman" w:hAnsi="Times New Roman" w:cs="Times New Roman"/>
          <w:sz w:val="24"/>
          <w:szCs w:val="24"/>
        </w:rPr>
      </w:pPr>
      <w:r>
        <w:rPr>
          <w:rFonts w:cs="Times New Roman" w:ascii="Times New Roman" w:hAnsi="Times New Roman"/>
          <w:sz w:val="24"/>
          <w:szCs w:val="24"/>
        </w:rPr>
        <w:t>Таблица 8</w:t>
      </w:r>
    </w:p>
    <w:tbl>
      <w:tblPr>
        <w:tblW w:w="9660" w:type="dxa"/>
        <w:jc w:val="center"/>
        <w:tblInd w:w="0" w:type="dxa"/>
        <w:tblLayout w:type="fixed"/>
        <w:tblCellMar>
          <w:top w:w="0" w:type="dxa"/>
          <w:left w:w="108" w:type="dxa"/>
          <w:bottom w:w="0" w:type="dxa"/>
          <w:right w:w="108" w:type="dxa"/>
        </w:tblCellMar>
        <w:tblLook w:val="00a0" w:noHBand="0" w:noVBand="0" w:firstColumn="1" w:lastRow="0" w:lastColumn="0" w:firstRow="1"/>
      </w:tblPr>
      <w:tblGrid>
        <w:gridCol w:w="4574"/>
        <w:gridCol w:w="1101"/>
        <w:gridCol w:w="1092"/>
        <w:gridCol w:w="1391"/>
        <w:gridCol w:w="1502"/>
      </w:tblGrid>
      <w:tr>
        <w:trPr>
          <w:trHeight w:val="1134" w:hRule="atLeast"/>
          <w:cantSplit w:val="true"/>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lang w:val="ru-RU"/>
              </w:rPr>
            </w:pPr>
            <w:r>
              <w:rPr>
                <w:rFonts w:ascii="Times New Roman" w:hAnsi="Times New Roman"/>
                <w:lang w:val="ru-RU"/>
              </w:rPr>
              <w:t>Категории земель</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lang w:val="ru-RU"/>
              </w:rPr>
            </w:pPr>
            <w:r>
              <w:rPr>
                <w:rFonts w:ascii="Times New Roman" w:hAnsi="Times New Roman"/>
                <w:lang w:val="ru-RU"/>
              </w:rPr>
              <w:t>Общая площадь (тыс. га)</w:t>
            </w:r>
          </w:p>
        </w:tc>
        <w:tc>
          <w:tcPr>
            <w:tcW w:w="10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lang w:val="ru-RU"/>
              </w:rPr>
            </w:pPr>
            <w:r>
              <w:rPr>
                <w:rFonts w:ascii="Times New Roman" w:hAnsi="Times New Roman"/>
                <w:lang w:val="ru-RU"/>
              </w:rPr>
              <w:t>В собственности граждан (тыс. га)</w:t>
            </w:r>
          </w:p>
        </w:tc>
        <w:tc>
          <w:tcPr>
            <w:tcW w:w="139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lang w:val="ru-RU"/>
              </w:rPr>
            </w:pPr>
            <w:r>
              <w:rPr>
                <w:rFonts w:ascii="Times New Roman" w:hAnsi="Times New Roman"/>
                <w:lang w:val="ru-RU"/>
              </w:rPr>
              <w:t>В собственности юридических лиц (тыс. га)</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lang w:val="ru-RU"/>
              </w:rPr>
            </w:pPr>
            <w:r>
              <w:rPr>
                <w:rFonts w:ascii="Times New Roman" w:hAnsi="Times New Roman"/>
                <w:lang w:val="ru-RU"/>
              </w:rPr>
              <w:t>В государственной и муниципальной собственности (тыс. га)</w:t>
            </w:r>
          </w:p>
        </w:tc>
      </w:tr>
      <w:tr>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both"/>
              <w:rPr>
                <w:rFonts w:ascii="Times New Roman" w:hAnsi="Times New Roman"/>
                <w:color w:val="000000"/>
                <w:lang w:val="ru-RU"/>
              </w:rPr>
            </w:pPr>
            <w:r>
              <w:rPr>
                <w:rFonts w:ascii="Times New Roman" w:hAnsi="Times New Roman"/>
                <w:color w:val="000000"/>
              </w:rPr>
              <w:t xml:space="preserve">1. </w:t>
            </w:r>
            <w:r>
              <w:rPr>
                <w:rFonts w:ascii="Times New Roman" w:hAnsi="Times New Roman"/>
                <w:color w:val="000000"/>
                <w:lang w:val="ru-RU"/>
              </w:rPr>
              <w:t>Земли сельскохозяйственного назначения</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1862,3</w:t>
            </w:r>
          </w:p>
        </w:tc>
        <w:tc>
          <w:tcPr>
            <w:tcW w:w="10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587,6</w:t>
            </w:r>
          </w:p>
        </w:tc>
        <w:tc>
          <w:tcPr>
            <w:tcW w:w="139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226,5</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1048,2</w:t>
            </w:r>
          </w:p>
        </w:tc>
      </w:tr>
      <w:tr>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both"/>
              <w:rPr>
                <w:rFonts w:ascii="Times New Roman" w:hAnsi="Times New Roman"/>
                <w:color w:val="000000"/>
              </w:rPr>
            </w:pPr>
            <w:r>
              <w:rPr>
                <w:rFonts w:ascii="Times New Roman" w:hAnsi="Times New Roman"/>
                <w:color w:val="000000"/>
              </w:rPr>
              <w:t>2. Земли населенных пунктов</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249,4</w:t>
            </w:r>
          </w:p>
        </w:tc>
        <w:tc>
          <w:tcPr>
            <w:tcW w:w="10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29,2</w:t>
            </w:r>
          </w:p>
        </w:tc>
        <w:tc>
          <w:tcPr>
            <w:tcW w:w="139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6,7</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213,5</w:t>
            </w:r>
          </w:p>
        </w:tc>
      </w:tr>
      <w:tr>
        <w:trPr/>
        <w:tc>
          <w:tcPr>
            <w:tcW w:w="4574"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both"/>
              <w:rPr>
                <w:rFonts w:ascii="Times New Roman" w:hAnsi="Times New Roman"/>
                <w:color w:val="000000"/>
                <w:lang w:val="ru-RU"/>
              </w:rPr>
            </w:pPr>
            <w:r>
              <w:rPr>
                <w:rFonts w:ascii="Times New Roman" w:hAnsi="Times New Roman"/>
                <w:color w:val="000000"/>
                <w:lang w:val="ru-RU"/>
              </w:rPr>
              <w:t>3.Земли промышленности, транспорта, связи, радиовещания, телевидения, информатики, космического обеспечения, энергетики, обороны и иного назначения</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384,3</w:t>
            </w:r>
          </w:p>
        </w:tc>
        <w:tc>
          <w:tcPr>
            <w:tcW w:w="10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0,1</w:t>
            </w:r>
          </w:p>
        </w:tc>
        <w:tc>
          <w:tcPr>
            <w:tcW w:w="139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1,6</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382,6</w:t>
            </w:r>
          </w:p>
        </w:tc>
      </w:tr>
      <w:tr>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both"/>
              <w:rPr>
                <w:rFonts w:ascii="Times New Roman" w:hAnsi="Times New Roman"/>
                <w:color w:val="000000"/>
                <w:lang w:val="ru-RU"/>
              </w:rPr>
            </w:pPr>
            <w:r>
              <w:rPr>
                <w:rFonts w:ascii="Times New Roman" w:hAnsi="Times New Roman"/>
                <w:color w:val="000000"/>
              </w:rPr>
              <w:t xml:space="preserve">4.Земли </w:t>
            </w:r>
            <w:r>
              <w:rPr>
                <w:rFonts w:ascii="Times New Roman" w:hAnsi="Times New Roman"/>
                <w:color w:val="000000"/>
                <w:lang w:val="ru-RU"/>
              </w:rPr>
              <w:t>особо охраняемых территорий</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847,3</w:t>
            </w:r>
          </w:p>
        </w:tc>
        <w:tc>
          <w:tcPr>
            <w:tcW w:w="10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0,2</w:t>
            </w:r>
          </w:p>
        </w:tc>
        <w:tc>
          <w:tcPr>
            <w:tcW w:w="139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0,1</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847</w:t>
            </w:r>
          </w:p>
        </w:tc>
      </w:tr>
      <w:tr>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both"/>
              <w:rPr>
                <w:rFonts w:ascii="Times New Roman" w:hAnsi="Times New Roman"/>
                <w:color w:val="000000"/>
                <w:lang w:val="ru-RU"/>
              </w:rPr>
            </w:pPr>
            <w:r>
              <w:rPr>
                <w:rFonts w:ascii="Times New Roman" w:hAnsi="Times New Roman"/>
                <w:color w:val="000000"/>
              </w:rPr>
              <w:t xml:space="preserve">5.Земли </w:t>
            </w:r>
            <w:r>
              <w:rPr>
                <w:rFonts w:ascii="Times New Roman" w:hAnsi="Times New Roman"/>
                <w:color w:val="000000"/>
                <w:lang w:val="ru-RU"/>
              </w:rPr>
              <w:t>лесного фонда</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12150,9</w:t>
            </w:r>
          </w:p>
        </w:tc>
        <w:tc>
          <w:tcPr>
            <w:tcW w:w="10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w:t>
            </w:r>
          </w:p>
        </w:tc>
        <w:tc>
          <w:tcPr>
            <w:tcW w:w="139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12150,9</w:t>
            </w:r>
          </w:p>
        </w:tc>
      </w:tr>
      <w:tr>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both"/>
              <w:rPr>
                <w:rFonts w:ascii="Times New Roman" w:hAnsi="Times New Roman"/>
                <w:color w:val="000000"/>
                <w:lang w:val="ru-RU"/>
              </w:rPr>
            </w:pPr>
            <w:r>
              <w:rPr>
                <w:rFonts w:ascii="Times New Roman" w:hAnsi="Times New Roman"/>
                <w:color w:val="000000"/>
              </w:rPr>
              <w:t xml:space="preserve">6.Земли </w:t>
            </w:r>
            <w:r>
              <w:rPr>
                <w:rFonts w:ascii="Times New Roman" w:hAnsi="Times New Roman"/>
                <w:color w:val="000000"/>
                <w:lang w:val="ru-RU"/>
              </w:rPr>
              <w:t>водного фонда</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323,2</w:t>
            </w:r>
          </w:p>
        </w:tc>
        <w:tc>
          <w:tcPr>
            <w:tcW w:w="10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w:t>
            </w:r>
          </w:p>
        </w:tc>
        <w:tc>
          <w:tcPr>
            <w:tcW w:w="139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323,2</w:t>
            </w:r>
          </w:p>
        </w:tc>
      </w:tr>
      <w:tr>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both"/>
              <w:rPr>
                <w:rFonts w:ascii="Times New Roman" w:hAnsi="Times New Roman"/>
                <w:color w:val="000000"/>
                <w:lang w:val="ru-RU"/>
              </w:rPr>
            </w:pPr>
            <w:r>
              <w:rPr>
                <w:rFonts w:ascii="Times New Roman" w:hAnsi="Times New Roman"/>
                <w:color w:val="000000"/>
              </w:rPr>
              <w:t xml:space="preserve">7.Земли </w:t>
            </w:r>
            <w:r>
              <w:rPr>
                <w:rFonts w:ascii="Times New Roman" w:hAnsi="Times New Roman"/>
                <w:color w:val="000000"/>
                <w:lang w:val="ru-RU"/>
              </w:rPr>
              <w:t>запаса</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649,9</w:t>
            </w:r>
          </w:p>
        </w:tc>
        <w:tc>
          <w:tcPr>
            <w:tcW w:w="10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w:t>
            </w:r>
          </w:p>
        </w:tc>
        <w:tc>
          <w:tcPr>
            <w:tcW w:w="139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lang w:val="ru-RU"/>
              </w:rPr>
            </w:pPr>
            <w:r>
              <w:rPr>
                <w:rFonts w:ascii="Times New Roman" w:hAnsi="Times New Roman"/>
                <w:color w:val="000000"/>
                <w:lang w:val="ru-RU"/>
              </w:rPr>
              <w:t>649,9</w:t>
            </w:r>
          </w:p>
        </w:tc>
      </w:tr>
      <w:tr>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both"/>
              <w:rPr>
                <w:rFonts w:ascii="Times New Roman" w:hAnsi="Times New Roman"/>
                <w:b/>
                <w:b/>
                <w:color w:val="000000"/>
                <w:lang w:val="ru-RU"/>
              </w:rPr>
            </w:pPr>
            <w:r>
              <w:rPr>
                <w:rFonts w:ascii="Times New Roman" w:hAnsi="Times New Roman"/>
                <w:b/>
                <w:color w:val="000000"/>
                <w:lang w:val="ru-RU"/>
              </w:rPr>
              <w:t>Итого земель по Приморскому краю</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b/>
                <w:b/>
                <w:color w:val="000000"/>
              </w:rPr>
            </w:pPr>
            <w:r>
              <w:rPr>
                <w:rFonts w:ascii="Times New Roman" w:hAnsi="Times New Roman"/>
                <w:b/>
                <w:color w:val="000000"/>
              </w:rPr>
              <w:t>16467,3</w:t>
            </w:r>
          </w:p>
        </w:tc>
        <w:tc>
          <w:tcPr>
            <w:tcW w:w="10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b/>
                <w:b/>
                <w:color w:val="000000"/>
                <w:lang w:val="ru-RU"/>
              </w:rPr>
            </w:pPr>
            <w:r>
              <w:rPr>
                <w:rFonts w:ascii="Times New Roman" w:hAnsi="Times New Roman"/>
                <w:b/>
                <w:color w:val="000000"/>
                <w:lang w:val="ru-RU"/>
              </w:rPr>
              <w:t>617,1</w:t>
            </w:r>
          </w:p>
        </w:tc>
        <w:tc>
          <w:tcPr>
            <w:tcW w:w="139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b/>
                <w:b/>
                <w:color w:val="000000"/>
                <w:lang w:val="ru-RU"/>
              </w:rPr>
            </w:pPr>
            <w:r>
              <w:rPr>
                <w:rFonts w:ascii="Times New Roman" w:hAnsi="Times New Roman"/>
                <w:b/>
                <w:color w:val="000000"/>
                <w:lang w:val="ru-RU"/>
              </w:rPr>
              <w:t>234,9</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b/>
                <w:b/>
                <w:color w:val="000000"/>
                <w:lang w:val="ru-RU"/>
              </w:rPr>
            </w:pPr>
            <w:r>
              <w:rPr>
                <w:rFonts w:ascii="Times New Roman" w:hAnsi="Times New Roman"/>
                <w:b/>
                <w:color w:val="000000"/>
                <w:lang w:val="ru-RU"/>
              </w:rPr>
              <w:t>15615,3</w:t>
            </w:r>
          </w:p>
        </w:tc>
      </w:tr>
    </w:tbl>
    <w:p>
      <w:pPr>
        <w:pStyle w:val="NormalWeb"/>
        <w:spacing w:lineRule="auto" w:line="240" w:before="0" w:after="0"/>
        <w:jc w:val="center"/>
        <w:rPr>
          <w:rFonts w:ascii="Times New Roman" w:hAnsi="Times New Roman" w:cs="Times New Roman"/>
          <w:bCs/>
          <w:sz w:val="26"/>
          <w:szCs w:val="26"/>
          <w:lang w:val="ru-RU"/>
        </w:rPr>
      </w:pPr>
      <w:r>
        <w:rPr>
          <w:rFonts w:cs="Times New Roman" w:ascii="Times New Roman" w:hAnsi="Times New Roman"/>
          <w:bCs/>
          <w:sz w:val="26"/>
          <w:szCs w:val="26"/>
          <w:lang w:val="ru-RU"/>
        </w:rPr>
      </w:r>
    </w:p>
    <w:p>
      <w:pPr>
        <w:pStyle w:val="NormalWeb"/>
        <w:spacing w:lineRule="auto" w:line="240"/>
        <w:jc w:val="center"/>
        <w:rPr>
          <w:rFonts w:ascii="Times New Roman" w:hAnsi="Times New Roman" w:cs="Times New Roman"/>
          <w:b/>
          <w:b/>
          <w:i/>
          <w:i/>
          <w:sz w:val="28"/>
          <w:szCs w:val="28"/>
          <w:lang w:val="ru-RU"/>
        </w:rPr>
      </w:pPr>
      <w:bookmarkStart w:id="348" w:name="_Toc256850175"/>
      <w:bookmarkStart w:id="349" w:name="_Toc96823402"/>
      <w:bookmarkStart w:id="350" w:name="_Toc97106176"/>
      <w:bookmarkStart w:id="351" w:name="_Toc130628075"/>
      <w:r>
        <w:rPr>
          <w:rFonts w:cs="Times New Roman" w:ascii="Times New Roman" w:hAnsi="Times New Roman"/>
          <w:b/>
          <w:bCs/>
          <w:sz w:val="28"/>
          <w:szCs w:val="28"/>
          <w:lang w:val="ru-RU"/>
        </w:rPr>
        <w:t>1.3.1. Распределение земель сельскохозяйственного назначения</w:t>
      </w:r>
      <w:bookmarkEnd w:id="348"/>
      <w:bookmarkEnd w:id="349"/>
      <w:bookmarkEnd w:id="350"/>
      <w:bookmarkEnd w:id="351"/>
    </w:p>
    <w:p>
      <w:pPr>
        <w:pStyle w:val="NormalWeb"/>
        <w:spacing w:lineRule="auto" w:line="240" w:before="0" w:after="200"/>
        <w:ind w:firstLine="709"/>
        <w:contextualSpacing/>
        <w:jc w:val="both"/>
        <w:rPr>
          <w:rFonts w:ascii="Times New Roman" w:hAnsi="Times New Roman"/>
          <w:sz w:val="28"/>
          <w:szCs w:val="28"/>
          <w:lang w:val="ru-RU"/>
        </w:rPr>
      </w:pPr>
      <w:bookmarkStart w:id="352" w:name="_Toc256850176"/>
      <w:bookmarkStart w:id="353" w:name="_Toc34212856"/>
      <w:bookmarkStart w:id="354" w:name="_Toc34558227"/>
      <w:bookmarkStart w:id="355" w:name="_Toc34559025"/>
      <w:bookmarkStart w:id="356" w:name="_Toc34559202"/>
      <w:bookmarkStart w:id="357" w:name="_Toc34560054"/>
      <w:bookmarkStart w:id="358" w:name="_Toc34560101"/>
      <w:bookmarkStart w:id="359" w:name="_Toc34560191"/>
      <w:bookmarkStart w:id="360" w:name="_Toc65489236"/>
      <w:bookmarkStart w:id="361" w:name="_Toc96823404"/>
      <w:bookmarkStart w:id="362" w:name="_Toc97106177"/>
      <w:bookmarkStart w:id="363" w:name="_Toc130628076"/>
      <w:bookmarkStart w:id="364" w:name="_Toc162766088"/>
      <w:r>
        <w:rPr>
          <w:rFonts w:ascii="Times New Roman" w:hAnsi="Times New Roman"/>
          <w:sz w:val="28"/>
          <w:szCs w:val="28"/>
          <w:lang w:val="ru-RU"/>
        </w:rPr>
        <w:t>По состоянию на 1 января 2017 года значительная часть земель сельскохозяйственного назначения Приморского края (рис. 11) находится в государственной и муниципальной собственности, это – 1048,2 тыс. га или 56,3 % земель этой категории. В собственности граждан – 587,6 тыс. га (31,6</w:t>
      </w:r>
      <w:r>
        <w:rPr>
          <w:rFonts w:ascii="Times New Roman" w:hAnsi="Times New Roman"/>
          <w:sz w:val="28"/>
          <w:szCs w:val="28"/>
        </w:rPr>
        <w:t> </w:t>
      </w:r>
      <w:r>
        <w:rPr>
          <w:rFonts w:ascii="Times New Roman" w:hAnsi="Times New Roman"/>
          <w:sz w:val="28"/>
          <w:szCs w:val="28"/>
          <w:lang w:val="ru-RU"/>
        </w:rPr>
        <w:t>% площади категории), в собственности юридических лиц – 226,5 тыс. га (12,2</w:t>
      </w:r>
      <w:r>
        <w:rPr>
          <w:rFonts w:ascii="Times New Roman" w:hAnsi="Times New Roman"/>
          <w:sz w:val="28"/>
          <w:szCs w:val="28"/>
        </w:rPr>
        <w:t> </w:t>
      </w:r>
      <w:r>
        <w:rPr>
          <w:rFonts w:ascii="Times New Roman" w:hAnsi="Times New Roman"/>
          <w:sz w:val="28"/>
          <w:szCs w:val="28"/>
          <w:lang w:val="ru-RU"/>
        </w:rPr>
        <w:t>%).</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Зарегистрированая собственность Российской Федерации на землях сельскохозяйственного назначения – 29,4 тыс. га, из них предоставлено юридическим лицам в пользование 28,6 тыс. га и в аренду – 0,3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Собственность Приморского края на земельные участки в составе категории земель сельскохозяйственного назначения зарегистрирована на 5,9 тыс. га. Собственность на земельные участки муниципальных образований зарегистрирована на площади 143,6 тыс. га.</w:t>
      </w:r>
    </w:p>
    <w:p>
      <w:pPr>
        <w:pStyle w:val="NormalWeb"/>
        <w:spacing w:lineRule="auto" w:line="240" w:before="0" w:after="200"/>
        <w:contextualSpacing/>
        <w:jc w:val="both"/>
        <w:rPr>
          <w:rFonts w:ascii="Times New Roman" w:hAnsi="Times New Roman"/>
          <w:sz w:val="28"/>
          <w:szCs w:val="28"/>
          <w:lang w:val="ru-RU"/>
        </w:rPr>
      </w:pPr>
      <w:r>
        <w:rPr/>
        <w:drawing>
          <wp:inline distT="0" distB="0" distL="0" distR="0">
            <wp:extent cx="5989320" cy="1798320"/>
            <wp:effectExtent l="0" t="0" r="0" b="0"/>
            <wp:docPr id="23" name="Объект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Normal"/>
        <w:spacing w:lineRule="auto" w:line="240" w:before="0" w:after="200"/>
        <w:contextualSpacing/>
        <w:jc w:val="center"/>
        <w:rPr>
          <w:rFonts w:ascii="Times New Roman" w:hAnsi="Times New Roman" w:cs="Times New Roman"/>
          <w:b/>
          <w:b/>
          <w:bCs/>
          <w:sz w:val="24"/>
          <w:szCs w:val="24"/>
        </w:rPr>
      </w:pPr>
      <w:r>
        <w:rPr>
          <w:rFonts w:cs="Times New Roman" w:ascii="Times New Roman" w:hAnsi="Times New Roman"/>
          <w:b/>
          <w:bCs/>
          <w:sz w:val="24"/>
          <w:szCs w:val="24"/>
        </w:rPr>
        <w:t xml:space="preserve">Рис. 11. Распределение земель сельскохозяйственного назначения </w:t>
        <w:br/>
        <w:t>Приморского края в 2016 году по формам собственности</w:t>
      </w:r>
    </w:p>
    <w:p>
      <w:pPr>
        <w:pStyle w:val="NormalWeb"/>
        <w:spacing w:lineRule="auto" w:line="240"/>
        <w:ind w:firstLine="709"/>
        <w:jc w:val="both"/>
        <w:rPr>
          <w:rFonts w:ascii="Times New Roman" w:hAnsi="Times New Roman"/>
          <w:sz w:val="28"/>
          <w:szCs w:val="28"/>
          <w:lang w:val="ru-RU"/>
        </w:rPr>
      </w:pPr>
      <w:r>
        <w:rPr>
          <w:rFonts w:ascii="Times New Roman" w:hAnsi="Times New Roman"/>
          <w:sz w:val="28"/>
          <w:szCs w:val="28"/>
          <w:lang w:val="ru-RU"/>
        </w:rPr>
        <w:t>Динамика изменения площадей по формам собственности приведена на рис. 12.</w:t>
      </w:r>
    </w:p>
    <w:p>
      <w:pPr>
        <w:pStyle w:val="NormalWeb"/>
        <w:spacing w:lineRule="auto" w:line="240"/>
        <w:jc w:val="both"/>
        <w:rPr>
          <w:rFonts w:ascii="Times New Roman" w:hAnsi="Times New Roman"/>
          <w:sz w:val="28"/>
          <w:szCs w:val="28"/>
          <w:lang w:val="ru-RU"/>
        </w:rPr>
      </w:pPr>
      <w:r>
        <w:rPr/>
        <w:drawing>
          <wp:inline distT="0" distB="0" distL="0" distR="0">
            <wp:extent cx="5722620" cy="2628900"/>
            <wp:effectExtent l="0" t="0" r="0" b="0"/>
            <wp:docPr id="24" name="Объект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NormalWeb"/>
        <w:spacing w:lineRule="auto" w:line="240"/>
        <w:jc w:val="center"/>
        <w:rPr>
          <w:rFonts w:ascii="Times New Roman" w:hAnsi="Times New Roman" w:cs="Times New Roman"/>
          <w:b/>
          <w:b/>
          <w:sz w:val="24"/>
          <w:szCs w:val="24"/>
          <w:lang w:val="ru-RU"/>
        </w:rPr>
      </w:pPr>
      <w:r>
        <w:rPr>
          <w:rFonts w:cs="Times New Roman" w:ascii="Times New Roman" w:hAnsi="Times New Roman"/>
          <w:b/>
          <w:sz w:val="24"/>
          <w:szCs w:val="24"/>
          <w:lang w:val="ru-RU"/>
        </w:rPr>
        <w:t xml:space="preserve">Рис. 12. Динамика изменения площадей сельскохозяйственного назначения </w:t>
        <w:br/>
        <w:t>Приморского края по формам собственности за 2012-2016годы (в тыс.га)</w:t>
      </w:r>
    </w:p>
    <w:p>
      <w:pPr>
        <w:pStyle w:val="NormalWeb"/>
        <w:spacing w:lineRule="auto" w:line="240"/>
        <w:jc w:val="center"/>
        <w:rPr>
          <w:rFonts w:ascii="Times New Roman" w:hAnsi="Times New Roman" w:cs="Times New Roman"/>
          <w:b/>
          <w:b/>
          <w:i/>
          <w:i/>
          <w:sz w:val="28"/>
          <w:szCs w:val="28"/>
          <w:lang w:val="ru-RU"/>
        </w:rPr>
      </w:pPr>
      <w:bookmarkStart w:id="365" w:name="_Toc256850176"/>
      <w:bookmarkStart w:id="366" w:name="_Toc34212856"/>
      <w:bookmarkStart w:id="367" w:name="_Toc34558227"/>
      <w:bookmarkStart w:id="368" w:name="_Toc34559025"/>
      <w:bookmarkStart w:id="369" w:name="_Toc34559202"/>
      <w:bookmarkStart w:id="370" w:name="_Toc34560054"/>
      <w:bookmarkStart w:id="371" w:name="_Toc34560101"/>
      <w:bookmarkStart w:id="372" w:name="_Toc34560191"/>
      <w:bookmarkStart w:id="373" w:name="_Toc65489236"/>
      <w:bookmarkStart w:id="374" w:name="_Toc96823404"/>
      <w:bookmarkStart w:id="375" w:name="_Toc97106177"/>
      <w:bookmarkStart w:id="376" w:name="_Toc130628076"/>
      <w:bookmarkStart w:id="377" w:name="_Toc162766088"/>
      <w:r>
        <w:rPr>
          <w:rFonts w:cs="Times New Roman" w:ascii="Times New Roman" w:hAnsi="Times New Roman"/>
          <w:b/>
          <w:sz w:val="28"/>
          <w:szCs w:val="28"/>
          <w:lang w:val="ru-RU"/>
        </w:rPr>
        <w:t>1.3.2. Распределение земель населенных пунктов</w:t>
      </w:r>
      <w:bookmarkEnd w:id="365"/>
      <w:bookmarkEnd w:id="366"/>
      <w:bookmarkEnd w:id="367"/>
      <w:bookmarkEnd w:id="368"/>
      <w:bookmarkEnd w:id="369"/>
      <w:bookmarkEnd w:id="370"/>
      <w:bookmarkEnd w:id="371"/>
      <w:bookmarkEnd w:id="372"/>
      <w:bookmarkEnd w:id="373"/>
      <w:bookmarkEnd w:id="374"/>
      <w:bookmarkEnd w:id="375"/>
      <w:bookmarkEnd w:id="376"/>
      <w:bookmarkEnd w:id="377"/>
    </w:p>
    <w:p>
      <w:pPr>
        <w:pStyle w:val="NormalWeb"/>
        <w:spacing w:lineRule="auto" w:line="240" w:before="0" w:after="200"/>
        <w:ind w:firstLine="709"/>
        <w:contextualSpacing/>
        <w:jc w:val="both"/>
        <w:rPr>
          <w:rFonts w:ascii="Times New Roman" w:hAnsi="Times New Roman"/>
          <w:sz w:val="28"/>
          <w:szCs w:val="28"/>
          <w:lang w:val="ru-RU"/>
        </w:rPr>
      </w:pPr>
      <w:bookmarkStart w:id="378" w:name="_Toc256850177"/>
      <w:bookmarkStart w:id="379" w:name="_Toc96823420"/>
      <w:bookmarkStart w:id="380" w:name="_Toc97106178"/>
      <w:bookmarkStart w:id="381" w:name="_Toc130628077"/>
      <w:bookmarkStart w:id="382" w:name="_Toc34212857"/>
      <w:bookmarkStart w:id="383" w:name="_Toc34560055"/>
      <w:bookmarkStart w:id="384" w:name="_Toc34560102"/>
      <w:bookmarkStart w:id="385" w:name="_Toc34560192"/>
      <w:bookmarkStart w:id="386" w:name="_Toc65489247"/>
      <w:bookmarkStart w:id="387" w:name="_Toc34558228"/>
      <w:bookmarkStart w:id="388" w:name="_Toc34559026"/>
      <w:bookmarkStart w:id="389" w:name="_Toc34559203"/>
      <w:bookmarkStart w:id="390" w:name="_Toc65489237"/>
      <w:bookmarkStart w:id="391" w:name="_Toc96823405"/>
      <w:r>
        <w:rPr>
          <w:rFonts w:ascii="Times New Roman" w:hAnsi="Times New Roman"/>
          <w:sz w:val="28"/>
          <w:szCs w:val="28"/>
          <w:lang w:val="ru-RU"/>
        </w:rPr>
        <w:t>По состоянию на 01.01.2017 из всех земель населенных пунктов (249,4 тыс. га) находилось (рис. 13):</w:t>
      </w:r>
      <w:bookmarkEnd w:id="391"/>
    </w:p>
    <w:p>
      <w:pPr>
        <w:pStyle w:val="NormalWeb"/>
        <w:spacing w:lineRule="auto" w:line="240" w:before="0" w:after="200"/>
        <w:ind w:firstLine="709"/>
        <w:contextualSpacing/>
        <w:jc w:val="both"/>
        <w:rPr>
          <w:rFonts w:ascii="Times New Roman" w:hAnsi="Times New Roman"/>
          <w:sz w:val="28"/>
          <w:szCs w:val="28"/>
          <w:lang w:val="ru-RU"/>
        </w:rPr>
      </w:pPr>
      <w:bookmarkStart w:id="392" w:name="_Toc96823406"/>
      <w:r>
        <w:rPr>
          <w:rFonts w:ascii="Times New Roman" w:hAnsi="Times New Roman"/>
          <w:sz w:val="28"/>
          <w:szCs w:val="28"/>
          <w:lang w:val="ru-RU"/>
        </w:rPr>
        <w:t>- в собственности граждан – 29,2 тыс. га;</w:t>
      </w:r>
      <w:bookmarkEnd w:id="392"/>
    </w:p>
    <w:p>
      <w:pPr>
        <w:pStyle w:val="NormalWeb"/>
        <w:spacing w:lineRule="auto" w:line="240" w:before="0" w:after="200"/>
        <w:ind w:firstLine="709"/>
        <w:contextualSpacing/>
        <w:jc w:val="both"/>
        <w:rPr>
          <w:rFonts w:ascii="Times New Roman" w:hAnsi="Times New Roman"/>
          <w:sz w:val="28"/>
          <w:szCs w:val="28"/>
          <w:lang w:val="ru-RU"/>
        </w:rPr>
      </w:pPr>
      <w:bookmarkStart w:id="393" w:name="_Toc96823407"/>
      <w:r>
        <w:rPr>
          <w:rFonts w:ascii="Times New Roman" w:hAnsi="Times New Roman"/>
          <w:sz w:val="28"/>
          <w:szCs w:val="28"/>
          <w:lang w:val="ru-RU"/>
        </w:rPr>
        <w:t>- в собственности юридических лиц – 6,7  тыс. га;</w:t>
      </w:r>
      <w:bookmarkEnd w:id="393"/>
    </w:p>
    <w:p>
      <w:pPr>
        <w:pStyle w:val="NormalWeb"/>
        <w:spacing w:lineRule="auto" w:line="240" w:before="0" w:after="200"/>
        <w:ind w:firstLine="709"/>
        <w:contextualSpacing/>
        <w:jc w:val="both"/>
        <w:rPr>
          <w:rFonts w:ascii="Times New Roman" w:hAnsi="Times New Roman"/>
          <w:sz w:val="28"/>
          <w:szCs w:val="28"/>
          <w:lang w:val="ru-RU"/>
        </w:rPr>
      </w:pPr>
      <w:bookmarkStart w:id="394" w:name="_Toc65489237"/>
      <w:bookmarkStart w:id="395" w:name="_Toc96823408"/>
      <w:r>
        <w:rPr>
          <w:rFonts w:ascii="Times New Roman" w:hAnsi="Times New Roman"/>
          <w:sz w:val="28"/>
          <w:szCs w:val="28"/>
          <w:lang w:val="ru-RU"/>
        </w:rPr>
        <w:t>- в государственной и муниципальной собственности – 213,5 тыс. га.</w:t>
      </w:r>
      <w:bookmarkEnd w:id="394"/>
      <w:bookmarkEnd w:id="395"/>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В государственной и муниципальной собственности по состоянию на 01.01.2017 находится 85,6 % земель этой категории. В собственности Российской Федерации официально зарегистрировано – 33,4 тыс. га, из них 10 тыс. га предоставлено в пользование юридическим лицам и 1,1 тыс. га предоставлено юридическим лицам в аренду.</w:t>
      </w:r>
    </w:p>
    <w:p>
      <w:pPr>
        <w:pStyle w:val="NormalWeb"/>
        <w:spacing w:lineRule="auto" w:line="240" w:before="0" w:after="200"/>
        <w:contextualSpacing/>
        <w:jc w:val="both"/>
        <w:rPr>
          <w:rFonts w:ascii="Times New Roman" w:hAnsi="Times New Roman"/>
          <w:sz w:val="28"/>
          <w:szCs w:val="28"/>
          <w:lang w:val="ru-RU"/>
        </w:rPr>
      </w:pPr>
      <w:r>
        <w:rPr/>
        <w:drawing>
          <wp:inline distT="0" distB="0" distL="0" distR="0">
            <wp:extent cx="5638800" cy="2278380"/>
            <wp:effectExtent l="0" t="0" r="0" b="0"/>
            <wp:docPr id="25" name="Объект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NormalWeb"/>
        <w:numPr>
          <w:ilvl w:val="0"/>
          <w:numId w:val="0"/>
        </w:numPr>
        <w:spacing w:before="0" w:after="0"/>
        <w:jc w:val="center"/>
        <w:outlineLvl w:val="0"/>
        <w:rPr>
          <w:rFonts w:ascii="Times New Roman" w:hAnsi="Times New Roman"/>
          <w:sz w:val="16"/>
          <w:szCs w:val="16"/>
        </w:rPr>
      </w:pPr>
      <w:r>
        <w:rPr>
          <w:rFonts w:ascii="Times New Roman" w:hAnsi="Times New Roman"/>
          <w:sz w:val="16"/>
          <w:szCs w:val="16"/>
        </w:rPr>
      </w:r>
    </w:p>
    <w:p>
      <w:pPr>
        <w:pStyle w:val="NormalWeb"/>
        <w:numPr>
          <w:ilvl w:val="0"/>
          <w:numId w:val="0"/>
        </w:numPr>
        <w:jc w:val="center"/>
        <w:outlineLvl w:val="0"/>
        <w:rPr>
          <w:rFonts w:ascii="Times New Roman" w:hAnsi="Times New Roman"/>
          <w:b/>
          <w:b/>
          <w:sz w:val="24"/>
          <w:szCs w:val="24"/>
          <w:lang w:val="ru-RU"/>
        </w:rPr>
      </w:pPr>
      <w:r>
        <w:rPr>
          <w:rFonts w:ascii="Times New Roman" w:hAnsi="Times New Roman"/>
          <w:b/>
          <w:sz w:val="24"/>
          <w:szCs w:val="24"/>
          <w:lang w:val="ru-RU"/>
        </w:rPr>
        <w:t>Рис. 13. Распределение земель населенных пунктов по формам собственности</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Общая площадь городских населенных пунктов (городов и рабочих поселков) края составляет на 01.01.2017 – 153,9 тыс. га. Из них в собственности граждан находится 10,8 тыс. га, в собственности юридических лиц – 6,1 тыс. га, в государственной и муниципальной собственности –      137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Общая площадь сельских населенных пунктов края составляет – 95,5 тыс. га. Из них находится в собственности граждан – 18,4 тыс. га, в государственной и муниципальной собственности – 76,5 тыс. га, в собственности юридических лиц – 0,6 тыс. га.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На территории сельских населенных пунктов доля частной собственности составила 19,3% (18,4 тыс. га), в основном это земли сельскохозяйственного использования, занятые личными подсобными хозяйствами.</w:t>
      </w:r>
    </w:p>
    <w:p>
      <w:pPr>
        <w:pStyle w:val="NormalWeb"/>
        <w:spacing w:lineRule="auto" w:line="240" w:before="240" w:after="200"/>
        <w:ind w:firstLine="709"/>
        <w:contextualSpacing/>
        <w:jc w:val="both"/>
        <w:rPr>
          <w:rFonts w:ascii="Times New Roman" w:hAnsi="Times New Roman"/>
          <w:sz w:val="28"/>
          <w:szCs w:val="28"/>
          <w:lang w:val="ru-RU"/>
        </w:rPr>
      </w:pPr>
      <w:r>
        <w:rPr>
          <w:rFonts w:ascii="Times New Roman" w:hAnsi="Times New Roman"/>
          <w:sz w:val="28"/>
          <w:szCs w:val="28"/>
          <w:lang w:val="ru-RU"/>
        </w:rPr>
        <w:t>Динамика распределения земель населенных пунктов по формам собственности представлена на рис. 14.</w:t>
      </w:r>
    </w:p>
    <w:p>
      <w:pPr>
        <w:pStyle w:val="NormalWeb"/>
        <w:spacing w:lineRule="auto" w:line="240" w:before="240" w:after="200"/>
        <w:contextualSpacing/>
        <w:jc w:val="both"/>
        <w:rPr>
          <w:rFonts w:ascii="Times New Roman" w:hAnsi="Times New Roman"/>
          <w:sz w:val="28"/>
          <w:szCs w:val="28"/>
          <w:lang w:val="ru-RU"/>
        </w:rPr>
      </w:pPr>
      <w:r>
        <w:rPr/>
        <w:drawing>
          <wp:inline distT="0" distB="0" distL="0" distR="0">
            <wp:extent cx="5939790" cy="2085340"/>
            <wp:effectExtent l="0" t="0" r="0" b="0"/>
            <wp:docPr id="26" name="Объект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NormalWeb"/>
        <w:numPr>
          <w:ilvl w:val="0"/>
          <w:numId w:val="0"/>
        </w:numPr>
        <w:spacing w:lineRule="auto" w:line="240" w:before="0" w:after="200"/>
        <w:ind w:left="709" w:firstLine="11"/>
        <w:contextualSpacing/>
        <w:jc w:val="center"/>
        <w:outlineLvl w:val="0"/>
        <w:rPr>
          <w:rFonts w:ascii="Times New Roman" w:hAnsi="Times New Roman"/>
          <w:b/>
          <w:b/>
          <w:sz w:val="24"/>
          <w:szCs w:val="24"/>
          <w:lang w:val="ru-RU"/>
        </w:rPr>
      </w:pPr>
      <w:r>
        <w:rPr>
          <w:rFonts w:ascii="Times New Roman" w:hAnsi="Times New Roman"/>
          <w:b/>
          <w:sz w:val="24"/>
          <w:szCs w:val="24"/>
          <w:lang w:val="ru-RU"/>
        </w:rPr>
      </w:r>
    </w:p>
    <w:p>
      <w:pPr>
        <w:pStyle w:val="NormalWeb"/>
        <w:numPr>
          <w:ilvl w:val="0"/>
          <w:numId w:val="0"/>
        </w:numPr>
        <w:spacing w:lineRule="auto" w:line="240" w:before="0" w:after="200"/>
        <w:ind w:left="709" w:firstLine="11"/>
        <w:contextualSpacing/>
        <w:jc w:val="center"/>
        <w:outlineLvl w:val="0"/>
        <w:rPr>
          <w:rFonts w:ascii="Times New Roman" w:hAnsi="Times New Roman"/>
          <w:b/>
          <w:b/>
          <w:sz w:val="24"/>
          <w:szCs w:val="24"/>
          <w:lang w:val="ru-RU"/>
        </w:rPr>
      </w:pPr>
      <w:r>
        <w:rPr>
          <w:rFonts w:ascii="Times New Roman" w:hAnsi="Times New Roman"/>
          <w:b/>
          <w:sz w:val="24"/>
          <w:szCs w:val="24"/>
          <w:lang w:val="ru-RU"/>
        </w:rPr>
        <w:t>Рис. 14. Динамика изменения площадей населенных пунктов Приморского края по формам собственности за 2012-2016 годы (тыс.га)</w:t>
      </w:r>
    </w:p>
    <w:p>
      <w:pPr>
        <w:pStyle w:val="NormalWeb"/>
        <w:numPr>
          <w:ilvl w:val="0"/>
          <w:numId w:val="0"/>
        </w:numPr>
        <w:spacing w:lineRule="auto" w:line="240" w:before="0" w:after="200"/>
        <w:ind w:left="709" w:firstLine="11"/>
        <w:contextualSpacing/>
        <w:jc w:val="center"/>
        <w:outlineLvl w:val="0"/>
        <w:rPr>
          <w:rFonts w:ascii="Times New Roman" w:hAnsi="Times New Roman"/>
          <w:b/>
          <w:b/>
          <w:sz w:val="24"/>
          <w:szCs w:val="24"/>
          <w:lang w:val="ru-RU"/>
        </w:rPr>
      </w:pPr>
      <w:r>
        <w:rPr>
          <w:rFonts w:ascii="Times New Roman" w:hAnsi="Times New Roman"/>
          <w:b/>
          <w:sz w:val="24"/>
          <w:szCs w:val="24"/>
          <w:lang w:val="ru-RU"/>
        </w:rPr>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В городах и поселках края передача земель в собственность в большей степени коснулась земель сельскохозяйственного использования и земель, предоставленных гражданам для индивидуального жилищного строительства, садоводства, личного подсобного хозяйства.</w:t>
      </w:r>
    </w:p>
    <w:p>
      <w:pPr>
        <w:pStyle w:val="NormalWeb"/>
        <w:spacing w:lineRule="auto" w:line="240" w:before="0" w:after="200"/>
        <w:ind w:firstLine="709"/>
        <w:contextualSpacing/>
        <w:jc w:val="both"/>
        <w:rPr>
          <w:rFonts w:ascii="Times New Roman" w:hAnsi="Times New Roman"/>
          <w:sz w:val="28"/>
          <w:szCs w:val="28"/>
          <w:lang w:val="ru-RU"/>
        </w:rPr>
      </w:pPr>
      <w:bookmarkStart w:id="396" w:name="_Toc65489244"/>
      <w:bookmarkStart w:id="397" w:name="_Toc96823417"/>
      <w:r>
        <w:rPr>
          <w:rFonts w:ascii="Times New Roman" w:hAnsi="Times New Roman"/>
          <w:sz w:val="28"/>
          <w:szCs w:val="28"/>
          <w:lang w:val="ru-RU"/>
        </w:rPr>
        <w:t>Общая площадь земель, предоставленная под индивидуальную жилую застройку в пределах городской и сельской черты в Приморском крае, в 2016 году составила – 17,5 тыс. га, из них находится в собственности граждан – 8,6 тыс. га. Этот показатель для городских населенных пунктов составляет – 7,2 тыс. га.</w:t>
      </w:r>
      <w:bookmarkEnd w:id="396"/>
      <w:bookmarkEnd w:id="397"/>
    </w:p>
    <w:p>
      <w:pPr>
        <w:pStyle w:val="NormalWeb"/>
        <w:spacing w:lineRule="auto" w:line="240" w:before="0" w:after="200"/>
        <w:ind w:firstLine="709"/>
        <w:contextualSpacing/>
        <w:jc w:val="both"/>
        <w:rPr>
          <w:rFonts w:ascii="Times New Roman" w:hAnsi="Times New Roman"/>
          <w:sz w:val="28"/>
          <w:szCs w:val="28"/>
          <w:lang w:val="ru-RU"/>
        </w:rPr>
      </w:pPr>
      <w:bookmarkStart w:id="398" w:name="_Toc65489245"/>
      <w:bookmarkStart w:id="399" w:name="_Toc96823418"/>
      <w:r>
        <w:rPr>
          <w:rFonts w:ascii="Times New Roman" w:hAnsi="Times New Roman"/>
          <w:sz w:val="28"/>
          <w:szCs w:val="28"/>
          <w:lang w:val="ru-RU"/>
        </w:rPr>
        <w:t>Общая площадь земель, занятых под личными подсобными хозяйствами в населенных пунктах края составляет – 38 тыс. га, в том числе в собственности граждан находится 17 тыс. га, в государственной и муниципальной собственности – 21 тыс. га.</w:t>
      </w:r>
      <w:bookmarkEnd w:id="398"/>
      <w:bookmarkEnd w:id="399"/>
    </w:p>
    <w:p>
      <w:pPr>
        <w:pStyle w:val="NormalWeb"/>
        <w:spacing w:lineRule="auto" w:line="240" w:before="0" w:after="200"/>
        <w:ind w:firstLine="709"/>
        <w:contextualSpacing/>
        <w:jc w:val="both"/>
        <w:rPr>
          <w:rFonts w:ascii="Times New Roman" w:hAnsi="Times New Roman"/>
          <w:sz w:val="28"/>
          <w:szCs w:val="28"/>
          <w:lang w:val="ru-RU"/>
        </w:rPr>
      </w:pPr>
      <w:bookmarkStart w:id="400" w:name="_Toc96823419"/>
      <w:bookmarkStart w:id="401" w:name="_Toc65489246"/>
      <w:r>
        <w:rPr>
          <w:rFonts w:ascii="Times New Roman" w:hAnsi="Times New Roman"/>
          <w:sz w:val="28"/>
          <w:szCs w:val="28"/>
          <w:lang w:val="ru-RU"/>
        </w:rPr>
        <w:t>Более половины земель, предоставленных гражданам для ведения садоводства в городах и поселках (общая площадь – 3 тыс. га.), находится в их собственности – 2,0 тыс. га</w:t>
      </w:r>
      <w:bookmarkEnd w:id="401"/>
      <w:r>
        <w:rPr>
          <w:rFonts w:ascii="Times New Roman" w:hAnsi="Times New Roman"/>
          <w:sz w:val="28"/>
          <w:szCs w:val="28"/>
          <w:lang w:val="ru-RU"/>
        </w:rPr>
        <w:t>, в государственной и муниципальной собственности находятся – 1,0 тыс. га.</w:t>
      </w:r>
      <w:bookmarkEnd w:id="400"/>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Web"/>
        <w:spacing w:lineRule="auto" w:line="240" w:before="0" w:after="0"/>
        <w:contextualSpacing/>
        <w:jc w:val="center"/>
        <w:rPr>
          <w:rFonts w:ascii="Times New Roman" w:hAnsi="Times New Roman" w:cs="Times New Roman"/>
          <w:b/>
          <w:b/>
          <w:sz w:val="28"/>
          <w:szCs w:val="28"/>
          <w:lang w:val="ru-RU"/>
        </w:rPr>
      </w:pPr>
      <w:bookmarkStart w:id="402" w:name="_Toc34558228"/>
      <w:bookmarkStart w:id="403" w:name="_Toc34559026"/>
      <w:bookmarkStart w:id="404" w:name="_Toc34559203"/>
      <w:r>
        <w:rPr>
          <w:rFonts w:cs="Times New Roman" w:ascii="Times New Roman" w:hAnsi="Times New Roman"/>
          <w:b/>
          <w:sz w:val="28"/>
          <w:szCs w:val="28"/>
          <w:lang w:val="ru-RU"/>
        </w:rPr>
        <w:t>1.3.3. Распределение земель промышленности, энергетики,</w:t>
      </w:r>
      <w:bookmarkEnd w:id="402"/>
      <w:bookmarkEnd w:id="403"/>
      <w:bookmarkEnd w:id="404"/>
      <w:r>
        <w:rPr>
          <w:rFonts w:cs="Times New Roman" w:ascii="Times New Roman" w:hAnsi="Times New Roman"/>
          <w:b/>
          <w:sz w:val="28"/>
          <w:szCs w:val="28"/>
          <w:lang w:val="ru-RU"/>
        </w:rPr>
        <w:t xml:space="preserve"> </w:t>
      </w:r>
      <w:bookmarkStart w:id="405" w:name="_Toc34558229"/>
      <w:bookmarkStart w:id="406" w:name="_Toc34559027"/>
      <w:bookmarkStart w:id="407" w:name="_Toc34559204"/>
      <w:r>
        <w:rPr>
          <w:rFonts w:cs="Times New Roman" w:ascii="Times New Roman" w:hAnsi="Times New Roman"/>
          <w:b/>
          <w:sz w:val="28"/>
          <w:szCs w:val="28"/>
          <w:lang w:val="ru-RU"/>
        </w:rPr>
        <w:t>транспорта, связи, радиовещания, телевидения, информатики, земель для обеспечения космической деятельности, земель обороны,</w:t>
      </w:r>
      <w:bookmarkEnd w:id="405"/>
      <w:bookmarkEnd w:id="406"/>
      <w:bookmarkEnd w:id="407"/>
      <w:r>
        <w:rPr>
          <w:rFonts w:cs="Times New Roman" w:ascii="Times New Roman" w:hAnsi="Times New Roman"/>
          <w:b/>
          <w:sz w:val="28"/>
          <w:szCs w:val="28"/>
          <w:lang w:val="ru-RU"/>
        </w:rPr>
        <w:t xml:space="preserve">  </w:t>
      </w:r>
      <w:bookmarkStart w:id="408" w:name="_Toc34558230"/>
      <w:bookmarkStart w:id="409" w:name="_Toc34559028"/>
      <w:bookmarkStart w:id="410" w:name="_Toc34559205"/>
      <w:r>
        <w:rPr>
          <w:rFonts w:cs="Times New Roman" w:ascii="Times New Roman" w:hAnsi="Times New Roman"/>
          <w:b/>
          <w:sz w:val="28"/>
          <w:szCs w:val="28"/>
          <w:lang w:val="ru-RU"/>
        </w:rPr>
        <w:t>безопасности</w:t>
      </w:r>
    </w:p>
    <w:p>
      <w:pPr>
        <w:pStyle w:val="NormalWeb"/>
        <w:spacing w:lineRule="auto" w:line="240" w:before="0" w:after="0"/>
        <w:contextualSpacing/>
        <w:jc w:val="center"/>
        <w:rPr>
          <w:rFonts w:ascii="Times New Roman" w:hAnsi="Times New Roman" w:cs="Times New Roman"/>
          <w:b/>
          <w:b/>
          <w:sz w:val="28"/>
          <w:szCs w:val="28"/>
          <w:lang w:val="ru-RU"/>
        </w:rPr>
      </w:pPr>
      <w:bookmarkStart w:id="411" w:name="_Toc256850177"/>
      <w:bookmarkStart w:id="412" w:name="_Toc96823420"/>
      <w:bookmarkStart w:id="413" w:name="_Toc97106178"/>
      <w:bookmarkStart w:id="414" w:name="_Toc130628077"/>
      <w:bookmarkStart w:id="415" w:name="_Toc34212857"/>
      <w:bookmarkStart w:id="416" w:name="_Toc34560055"/>
      <w:bookmarkStart w:id="417" w:name="_Toc34560102"/>
      <w:bookmarkStart w:id="418" w:name="_Toc34560192"/>
      <w:bookmarkStart w:id="419" w:name="_Toc65489247"/>
      <w:r>
        <w:rPr>
          <w:rFonts w:cs="Times New Roman" w:ascii="Times New Roman" w:hAnsi="Times New Roman"/>
          <w:b/>
          <w:sz w:val="28"/>
          <w:szCs w:val="28"/>
          <w:lang w:val="ru-RU"/>
        </w:rPr>
        <w:t>и земли иного специального назначения</w:t>
      </w:r>
      <w:bookmarkEnd w:id="411"/>
      <w:bookmarkEnd w:id="412"/>
      <w:bookmarkEnd w:id="413"/>
      <w:bookmarkEnd w:id="414"/>
      <w:bookmarkEnd w:id="415"/>
      <w:bookmarkEnd w:id="416"/>
      <w:bookmarkEnd w:id="417"/>
      <w:bookmarkEnd w:id="418"/>
      <w:bookmarkEnd w:id="419"/>
      <w:bookmarkEnd w:id="408"/>
      <w:bookmarkEnd w:id="409"/>
      <w:bookmarkEnd w:id="410"/>
    </w:p>
    <w:p>
      <w:pPr>
        <w:pStyle w:val="NormalWeb"/>
        <w:spacing w:lineRule="auto" w:line="240" w:before="0" w:after="200"/>
        <w:contextualSpacing/>
        <w:jc w:val="center"/>
        <w:rPr>
          <w:rFonts w:ascii="Times New Roman" w:hAnsi="Times New Roman" w:cs="Times New Roman"/>
          <w:sz w:val="26"/>
          <w:szCs w:val="26"/>
          <w:lang w:val="ru-RU"/>
        </w:rPr>
      </w:pPr>
      <w:r>
        <w:rPr>
          <w:rFonts w:cs="Times New Roman" w:ascii="Times New Roman" w:hAnsi="Times New Roman"/>
          <w:sz w:val="26"/>
          <w:szCs w:val="26"/>
          <w:lang w:val="ru-RU"/>
        </w:rPr>
      </w:r>
    </w:p>
    <w:p>
      <w:pPr>
        <w:pStyle w:val="NormalWeb"/>
        <w:spacing w:lineRule="auto" w:line="240" w:before="0" w:after="200"/>
        <w:ind w:firstLine="709"/>
        <w:contextualSpacing/>
        <w:jc w:val="both"/>
        <w:rPr>
          <w:rFonts w:ascii="Times New Roman" w:hAnsi="Times New Roman"/>
          <w:sz w:val="28"/>
          <w:szCs w:val="28"/>
          <w:lang w:val="ru-RU"/>
        </w:rPr>
      </w:pPr>
      <w:bookmarkStart w:id="420" w:name="_Toc256850178"/>
      <w:bookmarkStart w:id="421" w:name="_Toc130628078"/>
      <w:bookmarkStart w:id="422" w:name="_Toc65489248"/>
      <w:bookmarkStart w:id="423" w:name="_Toc96823423"/>
      <w:r>
        <w:rPr>
          <w:rFonts w:ascii="Times New Roman" w:hAnsi="Times New Roman"/>
          <w:sz w:val="28"/>
          <w:szCs w:val="28"/>
          <w:lang w:val="ru-RU"/>
        </w:rPr>
        <w:t>Общая площадь земель данной категории на территории края составляет 384,3 тыс. га (рис. 15). Эти земли приватизированы в наименьшей степени. По данным на 01.01.2017 всего 0,4 % земель этой категории приватизированы и находятся в собственности юридических лиц (1,6 тыс. га).</w:t>
      </w:r>
    </w:p>
    <w:p>
      <w:pPr>
        <w:pStyle w:val="NormalWeb"/>
        <w:spacing w:lineRule="auto" w:line="240" w:before="0" w:after="200"/>
        <w:ind w:firstLine="709"/>
        <w:contextualSpacing/>
        <w:jc w:val="both"/>
        <w:rPr>
          <w:rFonts w:ascii="Times New Roman" w:hAnsi="Times New Roman"/>
          <w:sz w:val="28"/>
          <w:szCs w:val="28"/>
          <w:lang w:val="ru-RU"/>
        </w:rPr>
      </w:pPr>
      <w:bookmarkStart w:id="424" w:name="_Toc96823421"/>
      <w:r>
        <w:rPr>
          <w:rFonts w:ascii="Times New Roman" w:hAnsi="Times New Roman"/>
          <w:sz w:val="28"/>
          <w:szCs w:val="28"/>
          <w:lang w:val="ru-RU"/>
        </w:rPr>
        <w:t>99,6% общей площади этих земель находится в государственной и муниципальной собственности (382,6 тыс. га). При этом в собственности Российской Федерации официально зарегистрировано 237,8 тыс. га. Абсолютное большинство земельных участков, отнесенных к землям этой категории, находится у предприятий, организаций на праве пользования – 147,5 тыс. га и предоставлено в аренду – 2 тыс. га.</w:t>
      </w:r>
      <w:bookmarkStart w:id="425" w:name="_Toc65489249"/>
      <w:bookmarkEnd w:id="424"/>
    </w:p>
    <w:p>
      <w:pPr>
        <w:pStyle w:val="NormalWeb"/>
        <w:spacing w:lineRule="auto" w:line="240" w:before="0" w:after="200"/>
        <w:ind w:firstLine="709"/>
        <w:contextualSpacing/>
        <w:jc w:val="both"/>
        <w:rPr>
          <w:rFonts w:ascii="Times New Roman" w:hAnsi="Times New Roman"/>
          <w:sz w:val="28"/>
          <w:szCs w:val="28"/>
          <w:lang w:val="ru-RU"/>
        </w:rPr>
      </w:pPr>
      <w:bookmarkStart w:id="426" w:name="_Toc96823422"/>
      <w:r>
        <w:rPr>
          <w:rFonts w:ascii="Times New Roman" w:hAnsi="Times New Roman"/>
          <w:sz w:val="28"/>
          <w:szCs w:val="28"/>
          <w:lang w:val="ru-RU"/>
        </w:rPr>
        <w:t xml:space="preserve">Наибольшая доля земель этой группы отнесена к землям обороны и безопасности – 313,5 тыс. га. </w:t>
      </w:r>
    </w:p>
    <w:p>
      <w:pPr>
        <w:pStyle w:val="NormalWeb"/>
        <w:spacing w:lineRule="auto" w:line="240" w:before="0" w:after="200"/>
        <w:ind w:firstLine="709"/>
        <w:contextualSpacing/>
        <w:jc w:val="both"/>
        <w:rPr>
          <w:rFonts w:ascii="Times New Roman" w:hAnsi="Times New Roman"/>
          <w:sz w:val="28"/>
          <w:szCs w:val="28"/>
          <w:lang w:val="ru-RU"/>
        </w:rPr>
      </w:pPr>
      <w:bookmarkStart w:id="427" w:name="_Toc96823422"/>
      <w:r>
        <w:rPr>
          <w:rFonts w:ascii="Times New Roman" w:hAnsi="Times New Roman"/>
          <w:sz w:val="28"/>
          <w:szCs w:val="28"/>
          <w:lang w:val="ru-RU"/>
        </w:rPr>
        <w:t>В собственности граждан  находится 0,1 тыс.га (0,03%) .</w:t>
      </w:r>
      <w:bookmarkEnd w:id="425"/>
      <w:bookmarkEnd w:id="427"/>
    </w:p>
    <w:p>
      <w:pPr>
        <w:pStyle w:val="NormalWeb"/>
        <w:spacing w:lineRule="auto" w:line="240" w:before="0" w:after="200"/>
        <w:contextualSpacing/>
        <w:jc w:val="both"/>
        <w:rPr>
          <w:rFonts w:ascii="Times New Roman" w:hAnsi="Times New Roman"/>
          <w:sz w:val="28"/>
          <w:szCs w:val="28"/>
          <w:lang w:val="ru-RU"/>
        </w:rPr>
      </w:pPr>
      <w:r>
        <w:rPr/>
        <w:drawing>
          <wp:inline distT="0" distB="0" distL="0" distR="0">
            <wp:extent cx="5897880" cy="2415540"/>
            <wp:effectExtent l="0" t="0" r="0" b="0"/>
            <wp:docPr id="27" name="Объект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NormalWeb"/>
        <w:spacing w:lineRule="auto" w:line="240" w:before="0" w:after="0"/>
        <w:contextualSpacing/>
        <w:jc w:val="center"/>
        <w:rPr>
          <w:rFonts w:ascii="Times New Roman" w:hAnsi="Times New Roman" w:cs="Times New Roman"/>
          <w:b/>
          <w:b/>
          <w:sz w:val="24"/>
          <w:szCs w:val="24"/>
          <w:lang w:val="ru-RU"/>
        </w:rPr>
      </w:pPr>
      <w:bookmarkStart w:id="428" w:name="_Toc65489248"/>
      <w:bookmarkStart w:id="429" w:name="_Toc96823423"/>
      <w:r>
        <w:rPr>
          <w:rFonts w:cs="Times New Roman" w:ascii="Times New Roman" w:hAnsi="Times New Roman"/>
          <w:b/>
          <w:sz w:val="24"/>
          <w:szCs w:val="24"/>
          <w:lang w:val="ru-RU"/>
        </w:rPr>
        <w:t>Рис. 1</w:t>
      </w:r>
      <w:bookmarkEnd w:id="428"/>
      <w:bookmarkEnd w:id="429"/>
      <w:r>
        <w:rPr>
          <w:rFonts w:cs="Times New Roman" w:ascii="Times New Roman" w:hAnsi="Times New Roman"/>
          <w:b/>
          <w:sz w:val="24"/>
          <w:szCs w:val="24"/>
          <w:lang w:val="ru-RU"/>
        </w:rPr>
        <w:t>5. Земли промышленности, транспорта, связи и иного назначения, находящиеся в государственной и муниципальной собственности в 2016 году</w:t>
      </w:r>
    </w:p>
    <w:p>
      <w:pPr>
        <w:pStyle w:val="NormalWeb"/>
        <w:spacing w:lineRule="auto" w:line="240" w:before="0" w:after="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Web"/>
        <w:spacing w:lineRule="auto" w:line="240" w:before="0" w:after="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Web"/>
        <w:spacing w:lineRule="auto" w:line="240" w:before="0" w:after="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Web"/>
        <w:spacing w:lineRule="auto" w:line="240" w:before="0" w:after="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Web"/>
        <w:spacing w:lineRule="auto" w:line="240" w:before="0" w:after="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Web"/>
        <w:spacing w:lineRule="auto" w:line="240" w:before="0" w:after="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Web"/>
        <w:spacing w:lineRule="auto" w:line="240" w:before="0" w:after="0"/>
        <w:jc w:val="center"/>
        <w:rPr>
          <w:rFonts w:ascii="Times New Roman" w:hAnsi="Times New Roman" w:cs="Times New Roman"/>
          <w:b/>
          <w:b/>
          <w:i/>
          <w:i/>
          <w:sz w:val="28"/>
          <w:szCs w:val="28"/>
          <w:lang w:val="ru-RU"/>
        </w:rPr>
      </w:pPr>
      <w:bookmarkStart w:id="430" w:name="_Toc256850178"/>
      <w:bookmarkStart w:id="431" w:name="_Toc130628078"/>
      <w:r>
        <w:rPr>
          <w:rFonts w:cs="Times New Roman" w:ascii="Times New Roman" w:hAnsi="Times New Roman"/>
          <w:b/>
          <w:sz w:val="28"/>
          <w:szCs w:val="28"/>
          <w:lang w:val="ru-RU"/>
        </w:rPr>
        <w:t xml:space="preserve">1.3.4. Распределение земель </w:t>
      </w:r>
      <w:bookmarkEnd w:id="430"/>
      <w:bookmarkEnd w:id="431"/>
      <w:r>
        <w:rPr>
          <w:rFonts w:cs="Times New Roman" w:ascii="Times New Roman" w:hAnsi="Times New Roman"/>
          <w:b/>
          <w:sz w:val="28"/>
          <w:szCs w:val="28"/>
          <w:lang w:val="ru-RU"/>
        </w:rPr>
        <w:t>особо охраняемых территорий и объектов</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r>
      <w:bookmarkStart w:id="432" w:name="_Toc96823424"/>
      <w:bookmarkStart w:id="433" w:name="_Toc96823424"/>
      <w:bookmarkEnd w:id="433"/>
    </w:p>
    <w:p>
      <w:pPr>
        <w:pStyle w:val="NormalWeb"/>
        <w:spacing w:lineRule="auto" w:line="240" w:before="0" w:after="200"/>
        <w:ind w:firstLine="709"/>
        <w:contextualSpacing/>
        <w:jc w:val="both"/>
        <w:rPr>
          <w:rFonts w:ascii="Times New Roman" w:hAnsi="Times New Roman"/>
          <w:sz w:val="28"/>
          <w:szCs w:val="28"/>
          <w:lang w:val="ru-RU"/>
        </w:rPr>
      </w:pPr>
      <w:bookmarkStart w:id="434" w:name="_Toc96823424"/>
      <w:bookmarkStart w:id="435" w:name="_Toc34212858"/>
      <w:bookmarkStart w:id="436" w:name="_Toc34558232"/>
      <w:bookmarkStart w:id="437" w:name="_Toc34559030"/>
      <w:bookmarkStart w:id="438" w:name="_Toc34559207"/>
      <w:bookmarkStart w:id="439" w:name="_Toc34560056"/>
      <w:bookmarkStart w:id="440" w:name="_Toc34560103"/>
      <w:bookmarkStart w:id="441" w:name="_Toc34560193"/>
      <w:bookmarkStart w:id="442" w:name="_Toc65489250"/>
      <w:bookmarkStart w:id="443" w:name="_Toc96823425"/>
      <w:bookmarkStart w:id="444" w:name="_Toc97106179"/>
      <w:bookmarkStart w:id="445" w:name="_Toc130628079"/>
      <w:bookmarkStart w:id="446" w:name="_Toc256850179"/>
      <w:bookmarkEnd w:id="434"/>
      <w:r>
        <w:rPr>
          <w:rFonts w:ascii="Times New Roman" w:hAnsi="Times New Roman"/>
          <w:sz w:val="28"/>
          <w:szCs w:val="28"/>
          <w:lang w:val="ru-RU"/>
        </w:rPr>
        <w:t>В Приморском крае произведено частичное разграничение земель категорий особо охраняемых территорий и объектов. Общая площадь земель этой категории в крае составляет 847,3 тыс. га, из них в собственности граждан находится 0,2 тыс.га, в собственности юридических лиц – 0,1 тыс.га, в государственной и муниципальной собственности – 847 тыс.га. Из них только 381,4 тыс. га (45 %) официально зарегистрированы как собственность Российской Федерации. Причем практически вся эта площадь (381,3 тыс. га)  отнесена к землям особо охраняемых природных территорий в составе земель категории особо охраняемых территорий и объектов.</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Земли историко-культурного назначения этой категории составляют 0,2 тыс. га, рекреационного назначения – 59,5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r>
    </w:p>
    <w:p>
      <w:pPr>
        <w:pStyle w:val="NormalWeb"/>
        <w:spacing w:lineRule="auto" w:line="240" w:before="0" w:after="200"/>
        <w:ind w:firstLine="709"/>
        <w:contextualSpacing/>
        <w:jc w:val="center"/>
        <w:rPr>
          <w:rFonts w:ascii="Times New Roman" w:hAnsi="Times New Roman" w:cs="Times New Roman"/>
          <w:b/>
          <w:b/>
          <w:sz w:val="28"/>
          <w:szCs w:val="28"/>
          <w:lang w:val="ru-RU"/>
        </w:rPr>
      </w:pPr>
      <w:r>
        <w:rPr>
          <w:rFonts w:ascii="Times New Roman" w:hAnsi="Times New Roman"/>
          <w:b/>
          <w:sz w:val="28"/>
          <w:szCs w:val="28"/>
          <w:lang w:val="ru-RU"/>
        </w:rPr>
        <w:t>1.3.5.</w:t>
      </w:r>
      <w:r>
        <w:rPr>
          <w:rFonts w:ascii="Times New Roman" w:hAnsi="Times New Roman"/>
          <w:sz w:val="28"/>
          <w:szCs w:val="28"/>
          <w:lang w:val="ru-RU"/>
        </w:rPr>
        <w:t xml:space="preserve"> </w:t>
      </w:r>
      <w:r>
        <w:rPr>
          <w:rFonts w:cs="Times New Roman" w:ascii="Times New Roman" w:hAnsi="Times New Roman"/>
          <w:b/>
          <w:sz w:val="28"/>
          <w:szCs w:val="28"/>
          <w:lang w:val="ru-RU"/>
        </w:rPr>
        <w:t>Распределение земель лесного фонда</w:t>
      </w:r>
    </w:p>
    <w:p>
      <w:pPr>
        <w:pStyle w:val="NormalWeb"/>
        <w:spacing w:lineRule="auto" w:line="240" w:before="0" w:after="200"/>
        <w:ind w:firstLine="709"/>
        <w:contextualSpacing/>
        <w:jc w:val="both"/>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before="0" w:after="200"/>
        <w:ind w:firstLine="709"/>
        <w:contextualSpacing/>
        <w:jc w:val="both"/>
        <w:rPr>
          <w:rFonts w:ascii="Times New Roman" w:hAnsi="Times New Roman"/>
          <w:sz w:val="28"/>
          <w:szCs w:val="28"/>
          <w:lang w:val="ru-RU"/>
        </w:rPr>
      </w:pPr>
      <w:r>
        <w:rPr>
          <w:rFonts w:cs="Times New Roman" w:ascii="Times New Roman" w:hAnsi="Times New Roman"/>
          <w:sz w:val="28"/>
          <w:szCs w:val="28"/>
          <w:lang w:val="ru-RU"/>
        </w:rPr>
        <w:t>Общая площадь земель лесного фонда в крае составляет 12150,9 тыс.га (73,8% всего земельного фонда края) и находится в государственной и муниципальной собственности. Доля федеральной собственности составляет 7799,2 тыс.га (64,2% от земель данной категории)</w:t>
      </w:r>
      <w:r>
        <w:rPr>
          <w:rFonts w:ascii="Times New Roman" w:hAnsi="Times New Roman"/>
          <w:sz w:val="28"/>
          <w:szCs w:val="28"/>
          <w:lang w:val="ru-RU"/>
        </w:rPr>
        <w:t>, 30,9 тыс.га находятся в собственности Приморского края, 0,1 тыс.га являются муниципальной собственностью. Земли данной категории используются в соответствии с их целевым назначением и разрешенным использованием на различных правах организациями, предприятиями, учреждениями, предоставляются в аренду.</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r>
    </w:p>
    <w:p>
      <w:pPr>
        <w:pStyle w:val="NormalWeb"/>
        <w:spacing w:lineRule="auto" w:line="240" w:before="0" w:after="200"/>
        <w:ind w:firstLine="709"/>
        <w:contextualSpacing/>
        <w:jc w:val="center"/>
        <w:rPr>
          <w:rFonts w:ascii="Times New Roman" w:hAnsi="Times New Roman" w:cs="Times New Roman"/>
          <w:b/>
          <w:b/>
          <w:sz w:val="28"/>
          <w:szCs w:val="28"/>
          <w:lang w:val="ru-RU"/>
        </w:rPr>
      </w:pPr>
      <w:r>
        <w:rPr>
          <w:rFonts w:ascii="Times New Roman" w:hAnsi="Times New Roman"/>
          <w:b/>
          <w:sz w:val="28"/>
          <w:szCs w:val="28"/>
          <w:lang w:val="ru-RU"/>
        </w:rPr>
        <w:t>1.3.6.</w:t>
      </w:r>
      <w:r>
        <w:rPr>
          <w:rFonts w:ascii="Times New Roman" w:hAnsi="Times New Roman"/>
          <w:sz w:val="28"/>
          <w:szCs w:val="28"/>
          <w:lang w:val="ru-RU"/>
        </w:rPr>
        <w:t xml:space="preserve"> </w:t>
      </w:r>
      <w:r>
        <w:rPr>
          <w:rFonts w:cs="Times New Roman" w:ascii="Times New Roman" w:hAnsi="Times New Roman"/>
          <w:b/>
          <w:sz w:val="28"/>
          <w:szCs w:val="28"/>
          <w:lang w:val="ru-RU"/>
        </w:rPr>
        <w:t>Распределение земель водного фонда</w:t>
      </w:r>
    </w:p>
    <w:p>
      <w:pPr>
        <w:pStyle w:val="NormalWeb"/>
        <w:spacing w:lineRule="auto" w:line="240" w:before="0" w:after="200"/>
        <w:ind w:firstLine="709"/>
        <w:contextualSpacing/>
        <w:jc w:val="both"/>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before="0" w:after="200"/>
        <w:ind w:firstLine="709"/>
        <w:contextualSpacing/>
        <w:jc w:val="both"/>
        <w:rPr>
          <w:rFonts w:ascii="Times New Roman" w:hAnsi="Times New Roman" w:cs="Times New Roman"/>
          <w:b/>
          <w:b/>
          <w:sz w:val="28"/>
          <w:szCs w:val="28"/>
          <w:lang w:val="ru-RU"/>
        </w:rPr>
      </w:pPr>
      <w:r>
        <w:rPr>
          <w:rFonts w:cs="Times New Roman" w:ascii="Times New Roman" w:hAnsi="Times New Roman"/>
          <w:sz w:val="28"/>
          <w:szCs w:val="28"/>
          <w:lang w:val="ru-RU"/>
        </w:rPr>
        <w:t xml:space="preserve">Общая площадь земель водного фонда в крае на 01.01.2017 составляет 323,2 тыс.га (около 2% земель края) и находится в государственной и муниципальной собственности. 1,3 тыс.га </w:t>
      </w:r>
      <w:r>
        <w:rPr>
          <w:rFonts w:ascii="Times New Roman" w:hAnsi="Times New Roman"/>
          <w:sz w:val="28"/>
          <w:szCs w:val="28"/>
          <w:lang w:val="ru-RU"/>
        </w:rPr>
        <w:t>зарегистрированы в собственности Российской Федерации.</w:t>
      </w:r>
    </w:p>
    <w:p>
      <w:pPr>
        <w:pStyle w:val="NormalWeb"/>
        <w:spacing w:lineRule="auto" w:line="240" w:before="0" w:after="200"/>
        <w:ind w:firstLine="709"/>
        <w:contextualSpacing/>
        <w:jc w:val="both"/>
        <w:rPr>
          <w:rFonts w:ascii="Times New Roman" w:hAnsi="Times New Roman"/>
          <w:b/>
          <w:b/>
          <w:sz w:val="28"/>
          <w:szCs w:val="28"/>
          <w:lang w:val="ru-RU"/>
        </w:rPr>
      </w:pPr>
      <w:r>
        <w:rPr>
          <w:rFonts w:ascii="Times New Roman" w:hAnsi="Times New Roman"/>
          <w:b/>
          <w:sz w:val="28"/>
          <w:szCs w:val="28"/>
          <w:lang w:val="ru-RU"/>
        </w:rPr>
      </w:r>
    </w:p>
    <w:p>
      <w:pPr>
        <w:pStyle w:val="NormalWeb"/>
        <w:spacing w:lineRule="auto" w:line="240" w:before="0" w:after="200"/>
        <w:ind w:firstLine="709"/>
        <w:contextualSpacing/>
        <w:jc w:val="center"/>
        <w:rPr>
          <w:rFonts w:ascii="Times New Roman" w:hAnsi="Times New Roman" w:cs="Times New Roman"/>
          <w:b/>
          <w:b/>
          <w:sz w:val="28"/>
          <w:szCs w:val="28"/>
          <w:lang w:val="ru-RU"/>
        </w:rPr>
      </w:pPr>
      <w:r>
        <w:rPr>
          <w:rFonts w:ascii="Times New Roman" w:hAnsi="Times New Roman"/>
          <w:b/>
          <w:sz w:val="28"/>
          <w:szCs w:val="28"/>
          <w:lang w:val="ru-RU"/>
        </w:rPr>
        <w:t>1.3.7.</w:t>
      </w:r>
      <w:r>
        <w:rPr>
          <w:rFonts w:ascii="Times New Roman" w:hAnsi="Times New Roman"/>
          <w:sz w:val="28"/>
          <w:szCs w:val="28"/>
          <w:lang w:val="ru-RU"/>
        </w:rPr>
        <w:t xml:space="preserve"> </w:t>
      </w:r>
      <w:r>
        <w:rPr>
          <w:rFonts w:cs="Times New Roman" w:ascii="Times New Roman" w:hAnsi="Times New Roman"/>
          <w:b/>
          <w:sz w:val="28"/>
          <w:szCs w:val="28"/>
          <w:lang w:val="ru-RU"/>
        </w:rPr>
        <w:t>Распределение земель запаса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Согласно статистической отчетности земли запаса площадью 649,9 тыс.га находятся в  государственной  и муниципальной собственности, зарегистрировано в собственности Российской Федерации – 6,8 тыс. га.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Web"/>
        <w:jc w:val="center"/>
        <w:rPr>
          <w:rFonts w:ascii="Times New Roman" w:hAnsi="Times New Roman" w:cs="Times New Roman"/>
          <w:b/>
          <w:b/>
          <w:sz w:val="28"/>
          <w:szCs w:val="28"/>
          <w:lang w:val="ru-RU"/>
        </w:rPr>
      </w:pPr>
      <w:bookmarkStart w:id="447" w:name="_Toc34212858"/>
      <w:bookmarkStart w:id="448" w:name="_Toc34558232"/>
      <w:bookmarkStart w:id="449" w:name="_Toc34559030"/>
      <w:bookmarkStart w:id="450" w:name="_Toc34559207"/>
      <w:bookmarkStart w:id="451" w:name="_Toc34560056"/>
      <w:bookmarkStart w:id="452" w:name="_Toc34560103"/>
      <w:bookmarkStart w:id="453" w:name="_Toc34560193"/>
      <w:bookmarkStart w:id="454" w:name="_Toc65489250"/>
      <w:bookmarkStart w:id="455" w:name="_Toc96823425"/>
      <w:bookmarkStart w:id="456" w:name="_Toc97106179"/>
      <w:bookmarkStart w:id="457" w:name="_Toc130628079"/>
      <w:bookmarkStart w:id="458" w:name="_Toc256850179"/>
      <w:r>
        <w:rPr>
          <w:rFonts w:cs="Times New Roman" w:ascii="Times New Roman" w:hAnsi="Times New Roman"/>
          <w:b/>
          <w:sz w:val="28"/>
          <w:szCs w:val="28"/>
          <w:lang w:val="ru-RU"/>
        </w:rPr>
        <w:t>1.4. ИСПОЛЬЗОВАНИЕ ЗЕМЕЛЬ ПРОИЗВОДИТЕЛЯМИ СЕЛЬСКОХОЗЯЙСТВЕННОЙ ПРОДУКЦИИ</w:t>
      </w:r>
      <w:bookmarkEnd w:id="447"/>
      <w:bookmarkEnd w:id="448"/>
      <w:bookmarkEnd w:id="449"/>
      <w:bookmarkEnd w:id="450"/>
      <w:bookmarkEnd w:id="451"/>
      <w:bookmarkEnd w:id="452"/>
      <w:bookmarkEnd w:id="453"/>
      <w:bookmarkEnd w:id="454"/>
      <w:bookmarkEnd w:id="455"/>
      <w:bookmarkEnd w:id="456"/>
      <w:bookmarkEnd w:id="457"/>
      <w:bookmarkEnd w:id="458"/>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Производством сельскохозяйственной продукции на территории Приморского края в 2016 году занимались различные хозяйствующие субъекты, в том числе: 19 государственных и муниципальных унитарных сельскохозяйственных предприятия, 38 научно-исследователь</w:t>
        <w:softHyphen/>
        <w:t xml:space="preserve">ских и учебных учреждений, 254 хозяйственных товариществ и обществ, 76 производственных кооперативов, 25 подсобных хозяйств, 121 прочих предприятий, организаций и учреждений.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Общая площадь таких земель на 01.01.2017  составила – 767,9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Для производства сельскохозяйственной продукции предоставляются земли различных категорий. Большая часть таких земель относится к категории земель сельскохозяйственного назначения. Значительное количество указанных земель имеется на территориях населенных пунктов (преимущественно сельских населенных пунктов), присутствуют они и на землях промышленности и иного назначения и землях лесного фонда.</w:t>
      </w:r>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В Приморском крае в 2016 году по-прежнему отмечалось перераспределение земель (в том числе сельскохозяйственных угодий) между юридическими и физическими лицами, занимающимися сельскохозяйственным производством. В результате ликвидации нерентабельных сельскохозяйственных предприятий собственники земельных долей (участники этих предприятий), осуществляя права собственника по распоряжению, сдавали земельную долю в аренду иному производителю сельскохозяйственной продукции и чаще всего крестьянским (фермерским) хозяйствам. Кроме этого, собственники земельных долей выходили из действующих предприятий со своей долей с целью организации крестьянского (фермерского) хозяйства и личного подсобного хозяйства. Часть земель, представляющих собой земельные доли граждан, после ликвидации предприятий не использовалась.</w:t>
      </w:r>
    </w:p>
    <w:p>
      <w:pPr>
        <w:pStyle w:val="NormalWeb"/>
        <w:spacing w:lineRule="auto" w:line="240" w:before="0" w:after="200"/>
        <w:ind w:firstLine="851"/>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Web"/>
        <w:spacing w:lineRule="auto" w:line="240" w:before="0" w:after="0"/>
        <w:contextualSpacing/>
        <w:jc w:val="center"/>
        <w:rPr>
          <w:rFonts w:ascii="Times New Roman" w:hAnsi="Times New Roman" w:cs="Times New Roman"/>
          <w:b/>
          <w:b/>
          <w:sz w:val="28"/>
          <w:szCs w:val="28"/>
          <w:lang w:val="ru-RU"/>
        </w:rPr>
      </w:pPr>
      <w:bookmarkStart w:id="459" w:name="_Toc3032281"/>
      <w:bookmarkStart w:id="460" w:name="_Toc34212860"/>
      <w:bookmarkStart w:id="461" w:name="_Toc34560057"/>
      <w:bookmarkStart w:id="462" w:name="_Toc34560104"/>
      <w:bookmarkStart w:id="463" w:name="_Toc34560194"/>
      <w:bookmarkStart w:id="464" w:name="_Toc65489251"/>
      <w:bookmarkStart w:id="465" w:name="_Toc96823426"/>
      <w:bookmarkStart w:id="466" w:name="_Toc97106180"/>
      <w:bookmarkStart w:id="467" w:name="_Toc130628080"/>
      <w:bookmarkStart w:id="468" w:name="_Toc256850180"/>
      <w:bookmarkStart w:id="469" w:name="_Toc34558234"/>
      <w:bookmarkStart w:id="470" w:name="_Toc34559032"/>
      <w:bookmarkStart w:id="471" w:name="_Toc34559208"/>
      <w:r>
        <w:rPr>
          <w:rFonts w:cs="Times New Roman" w:ascii="Times New Roman" w:hAnsi="Times New Roman"/>
          <w:b/>
          <w:sz w:val="28"/>
          <w:szCs w:val="28"/>
          <w:lang w:val="ru-RU"/>
        </w:rPr>
        <w:t>1.4.1. Использование земель предприятиями, организациями для</w:t>
      </w:r>
      <w:bookmarkEnd w:id="469"/>
      <w:bookmarkEnd w:id="470"/>
      <w:bookmarkEnd w:id="471"/>
      <w:r>
        <w:rPr>
          <w:rFonts w:cs="Times New Roman" w:ascii="Times New Roman" w:hAnsi="Times New Roman"/>
          <w:b/>
          <w:sz w:val="28"/>
          <w:szCs w:val="28"/>
          <w:lang w:val="ru-RU"/>
        </w:rPr>
        <w:t xml:space="preserve"> </w:t>
      </w:r>
      <w:bookmarkStart w:id="472" w:name="_Toc34558235"/>
      <w:bookmarkStart w:id="473" w:name="_Toc34559033"/>
      <w:bookmarkStart w:id="474" w:name="_Toc34559209"/>
      <w:r>
        <w:rPr>
          <w:rFonts w:cs="Times New Roman" w:ascii="Times New Roman" w:hAnsi="Times New Roman"/>
          <w:b/>
          <w:sz w:val="28"/>
          <w:szCs w:val="28"/>
          <w:lang w:val="ru-RU"/>
        </w:rPr>
        <w:t>производства сельскохозяйственной продукции (сведения о формах собственности и  правах)</w:t>
      </w:r>
      <w:bookmarkEnd w:id="459"/>
      <w:bookmarkEnd w:id="460"/>
      <w:bookmarkEnd w:id="461"/>
      <w:bookmarkEnd w:id="462"/>
      <w:bookmarkEnd w:id="463"/>
      <w:bookmarkEnd w:id="464"/>
      <w:bookmarkEnd w:id="465"/>
      <w:bookmarkEnd w:id="466"/>
      <w:bookmarkEnd w:id="467"/>
      <w:bookmarkEnd w:id="468"/>
      <w:bookmarkEnd w:id="472"/>
      <w:bookmarkEnd w:id="473"/>
      <w:bookmarkEnd w:id="474"/>
    </w:p>
    <w:p>
      <w:pPr>
        <w:pStyle w:val="NormalWeb"/>
        <w:spacing w:lineRule="auto" w:line="240" w:before="0" w:after="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spacing w:lineRule="auto" w:line="240" w:before="0" w:after="200"/>
        <w:ind w:firstLine="709"/>
        <w:contextualSpacing/>
        <w:jc w:val="both"/>
        <w:rPr>
          <w:rFonts w:ascii="Times New Roman" w:hAnsi="Times New Roman"/>
          <w:sz w:val="28"/>
          <w:szCs w:val="28"/>
          <w:lang w:val="ru-RU"/>
        </w:rPr>
      </w:pPr>
      <w:bookmarkStart w:id="475" w:name="_Toc65489252"/>
      <w:bookmarkStart w:id="476" w:name="_Toc3032280"/>
      <w:bookmarkStart w:id="477" w:name="_Toc34212859"/>
      <w:bookmarkStart w:id="478" w:name="_Toc34558233"/>
      <w:bookmarkStart w:id="479" w:name="_Toc34559031"/>
      <w:bookmarkEnd w:id="475"/>
      <w:r>
        <w:rPr>
          <w:rFonts w:ascii="Times New Roman" w:hAnsi="Times New Roman"/>
          <w:sz w:val="28"/>
          <w:szCs w:val="28"/>
          <w:lang w:val="ru-RU"/>
        </w:rPr>
        <w:t xml:space="preserve">Использование земель для сельскохозяйственного производства на территории Приморского края осуществлялось предприятиями и организациями различных организационно-правовых форм, установленных Гражданским кодексом Российской Федерации.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Наличие земель у предприятий, организаций Приморского края, занимающихся сельскохозяйственным производством, и их распределение по угодьям в 2016 году представлено в таблице 9.</w:t>
      </w:r>
    </w:p>
    <w:p>
      <w:pPr>
        <w:pStyle w:val="NormalWeb"/>
        <w:spacing w:lineRule="auto" w:line="240" w:before="0" w:after="200"/>
        <w:ind w:firstLine="567"/>
        <w:contextualSpacing/>
        <w:jc w:val="both"/>
        <w:rPr>
          <w:rFonts w:ascii="Times New Roman" w:hAnsi="Times New Roman"/>
          <w:sz w:val="28"/>
          <w:szCs w:val="28"/>
          <w:lang w:val="ru-RU"/>
        </w:rPr>
      </w:pPr>
      <w:bookmarkStart w:id="480" w:name="_Toc3032280"/>
      <w:bookmarkStart w:id="481" w:name="_Toc34212859"/>
      <w:bookmarkStart w:id="482" w:name="_Toc34558233"/>
      <w:bookmarkStart w:id="483" w:name="_Toc34559031"/>
      <w:r>
        <w:rPr>
          <w:rFonts w:ascii="Times New Roman" w:hAnsi="Times New Roman"/>
          <w:sz w:val="28"/>
          <w:szCs w:val="28"/>
          <w:lang w:val="ru-RU"/>
        </w:rPr>
        <w:t>Из таблицы видно, что наибольшие площади сельскохозяйственных угодий на территории Приморского края находятся у производственных кооперативов, хозяйственных товариществ и сельскохозяйственных предприятий, образованных в результате реорганизации совхозов и колхозов в ходе проведения земельной реформы. Именно у них в 2016 году было сосредоточено 36,8 % всех используемых сельскохозяйственных угодий края.</w:t>
      </w:r>
      <w:bookmarkEnd w:id="480"/>
      <w:bookmarkEnd w:id="481"/>
      <w:bookmarkEnd w:id="482"/>
      <w:bookmarkEnd w:id="483"/>
    </w:p>
    <w:p>
      <w:pPr>
        <w:pStyle w:val="NormalWeb"/>
        <w:spacing w:lineRule="auto" w:line="360" w:before="240" w:after="200"/>
        <w:ind w:right="-85" w:hanging="0"/>
        <w:contextualSpacing/>
        <w:jc w:val="right"/>
        <w:rPr>
          <w:rFonts w:ascii="Times New Roman" w:hAnsi="Times New Roman"/>
          <w:color w:val="000000"/>
          <w:sz w:val="24"/>
          <w:szCs w:val="24"/>
          <w:lang w:val="ru-RU"/>
        </w:rPr>
      </w:pPr>
      <w:r>
        <w:rPr>
          <w:rFonts w:ascii="Times New Roman" w:hAnsi="Times New Roman"/>
          <w:color w:val="000000"/>
          <w:sz w:val="24"/>
          <w:szCs w:val="24"/>
        </w:rPr>
        <w:t>Таблица 9</w:t>
      </w:r>
    </w:p>
    <w:tbl>
      <w:tblPr>
        <w:tblW w:w="9825" w:type="dxa"/>
        <w:jc w:val="center"/>
        <w:tblInd w:w="0" w:type="dxa"/>
        <w:tblLayout w:type="fixed"/>
        <w:tblCellMar>
          <w:top w:w="0" w:type="dxa"/>
          <w:left w:w="108" w:type="dxa"/>
          <w:bottom w:w="0" w:type="dxa"/>
          <w:right w:w="108" w:type="dxa"/>
        </w:tblCellMar>
        <w:tblLook w:val="00a0" w:noHBand="0" w:noVBand="0" w:firstColumn="1" w:lastRow="0" w:lastColumn="0" w:firstRow="1"/>
      </w:tblPr>
      <w:tblGrid>
        <w:gridCol w:w="3692"/>
        <w:gridCol w:w="1143"/>
        <w:gridCol w:w="849"/>
        <w:gridCol w:w="1080"/>
        <w:gridCol w:w="1081"/>
        <w:gridCol w:w="1080"/>
        <w:gridCol w:w="899"/>
      </w:tblGrid>
      <w:tr>
        <w:trPr>
          <w:cantSplit w:val="true"/>
        </w:trPr>
        <w:tc>
          <w:tcPr>
            <w:tcW w:w="3692" w:type="dxa"/>
            <w:vMerge w:val="restart"/>
            <w:tcBorders>
              <w:top w:val="single" w:sz="4" w:space="0" w:color="000000"/>
              <w:left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Наименование хозяйствующих субъектов, использующих землю</w:t>
            </w:r>
          </w:p>
        </w:tc>
        <w:tc>
          <w:tcPr>
            <w:tcW w:w="1143" w:type="dxa"/>
            <w:vMerge w:val="restart"/>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Всего площадь земель</w:t>
            </w:r>
          </w:p>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тыс. га</w:t>
            </w:r>
          </w:p>
        </w:tc>
        <w:tc>
          <w:tcPr>
            <w:tcW w:w="4989" w:type="dxa"/>
            <w:gridSpan w:val="5"/>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Из них сельскохозяйственных угодья</w:t>
            </w:r>
          </w:p>
        </w:tc>
      </w:tr>
      <w:tr>
        <w:trPr>
          <w:trHeight w:val="300" w:hRule="atLeast"/>
          <w:cantSplit w:val="true"/>
        </w:trPr>
        <w:tc>
          <w:tcPr>
            <w:tcW w:w="3692" w:type="dxa"/>
            <w:vMerge w:val="continue"/>
            <w:tcBorders>
              <w:top w:val="single" w:sz="4" w:space="0" w:color="000000"/>
              <w:left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olor w:val="000000"/>
                <w:sz w:val="20"/>
                <w:szCs w:val="20"/>
                <w:lang w:eastAsia="en-US"/>
              </w:rPr>
            </w:pPr>
            <w:r>
              <w:rPr>
                <w:rFonts w:ascii="Times New Roman" w:hAnsi="Times New Roman"/>
                <w:color w:val="000000"/>
                <w:sz w:val="20"/>
                <w:szCs w:val="20"/>
                <w:lang w:eastAsia="en-US"/>
              </w:rPr>
            </w:r>
          </w:p>
        </w:tc>
        <w:tc>
          <w:tcPr>
            <w:tcW w:w="11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olor w:val="000000"/>
                <w:sz w:val="20"/>
                <w:szCs w:val="20"/>
                <w:lang w:eastAsia="en-US"/>
              </w:rPr>
            </w:pPr>
            <w:r>
              <w:rPr>
                <w:rFonts w:ascii="Times New Roman" w:hAnsi="Times New Roman"/>
                <w:color w:val="000000"/>
                <w:sz w:val="20"/>
                <w:szCs w:val="20"/>
                <w:lang w:eastAsia="en-US"/>
              </w:rPr>
            </w:r>
          </w:p>
        </w:tc>
        <w:tc>
          <w:tcPr>
            <w:tcW w:w="849" w:type="dxa"/>
            <w:vMerge w:val="restart"/>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Всего</w:t>
            </w:r>
          </w:p>
        </w:tc>
        <w:tc>
          <w:tcPr>
            <w:tcW w:w="4140" w:type="dxa"/>
            <w:gridSpan w:val="4"/>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rPr>
              <w:t xml:space="preserve">в </w:t>
            </w:r>
            <w:r>
              <w:rPr>
                <w:rFonts w:ascii="Times New Roman" w:hAnsi="Times New Roman"/>
                <w:color w:val="000000"/>
                <w:sz w:val="20"/>
                <w:szCs w:val="20"/>
                <w:lang w:val="ru-RU"/>
              </w:rPr>
              <w:t>том числе</w:t>
            </w:r>
          </w:p>
        </w:tc>
      </w:tr>
      <w:tr>
        <w:trPr>
          <w:trHeight w:val="150" w:hRule="atLeast"/>
          <w:cantSplit w:val="true"/>
        </w:trPr>
        <w:tc>
          <w:tcPr>
            <w:tcW w:w="3692" w:type="dxa"/>
            <w:vMerge w:val="continue"/>
            <w:tcBorders>
              <w:top w:val="single" w:sz="4" w:space="0" w:color="000000"/>
              <w:left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olor w:val="000000"/>
                <w:sz w:val="20"/>
                <w:szCs w:val="20"/>
                <w:lang w:eastAsia="en-US"/>
              </w:rPr>
            </w:pPr>
            <w:r>
              <w:rPr>
                <w:rFonts w:ascii="Times New Roman" w:hAnsi="Times New Roman"/>
                <w:color w:val="000000"/>
                <w:sz w:val="20"/>
                <w:szCs w:val="20"/>
                <w:lang w:eastAsia="en-US"/>
              </w:rPr>
            </w:r>
          </w:p>
        </w:tc>
        <w:tc>
          <w:tcPr>
            <w:tcW w:w="11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olor w:val="000000"/>
                <w:sz w:val="20"/>
                <w:szCs w:val="20"/>
                <w:lang w:eastAsia="en-US"/>
              </w:rPr>
            </w:pPr>
            <w:r>
              <w:rPr>
                <w:rFonts w:ascii="Times New Roman" w:hAnsi="Times New Roman"/>
                <w:color w:val="000000"/>
                <w:sz w:val="20"/>
                <w:szCs w:val="20"/>
                <w:lang w:eastAsia="en-US"/>
              </w:rPr>
            </w:r>
          </w:p>
        </w:tc>
        <w:tc>
          <w:tcPr>
            <w:tcW w:w="8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olor w:val="000000"/>
                <w:sz w:val="20"/>
                <w:szCs w:val="20"/>
                <w:lang w:val="en-US" w:eastAsia="en-US"/>
              </w:rPr>
            </w:pPr>
            <w:r>
              <w:rPr>
                <w:rFonts w:ascii="Times New Roman" w:hAnsi="Times New Roman"/>
                <w:color w:val="000000"/>
                <w:sz w:val="20"/>
                <w:szCs w:val="20"/>
                <w:lang w:val="en-US" w:eastAsia="en-US"/>
              </w:rPr>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пашня</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многолетние насаждения</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rPr>
                <w:rFonts w:ascii="Times New Roman" w:hAnsi="Times New Roman"/>
                <w:color w:val="000000"/>
                <w:sz w:val="20"/>
                <w:szCs w:val="20"/>
                <w:lang w:val="ru-RU"/>
              </w:rPr>
            </w:pPr>
            <w:r>
              <w:rPr>
                <w:rFonts w:ascii="Times New Roman" w:hAnsi="Times New Roman"/>
                <w:color w:val="000000"/>
                <w:sz w:val="20"/>
                <w:szCs w:val="20"/>
                <w:lang w:val="ru-RU"/>
              </w:rPr>
              <w:t>сенокосы</w:t>
            </w:r>
          </w:p>
        </w:tc>
        <w:tc>
          <w:tcPr>
            <w:tcW w:w="899"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Пастбища</w:t>
            </w:r>
          </w:p>
        </w:tc>
      </w:tr>
      <w:tr>
        <w:trPr>
          <w:cantSplit w:val="true"/>
        </w:trPr>
        <w:tc>
          <w:tcPr>
            <w:tcW w:w="3692"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olor w:val="000000"/>
                <w:sz w:val="20"/>
                <w:szCs w:val="20"/>
                <w:lang w:val="ru-RU"/>
              </w:rPr>
            </w:pPr>
            <w:r>
              <w:rPr>
                <w:rFonts w:ascii="Times New Roman" w:hAnsi="Times New Roman"/>
                <w:color w:val="000000"/>
                <w:sz w:val="20"/>
                <w:szCs w:val="20"/>
                <w:lang w:val="ru-RU"/>
              </w:rPr>
              <w:t>Хозяйственные товарищества и общества</w:t>
            </w:r>
          </w:p>
        </w:tc>
        <w:tc>
          <w:tcPr>
            <w:tcW w:w="114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452,1</w:t>
            </w:r>
          </w:p>
        </w:tc>
        <w:tc>
          <w:tcPr>
            <w:tcW w:w="84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368,8</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222,3</w:t>
            </w:r>
          </w:p>
        </w:tc>
        <w:tc>
          <w:tcPr>
            <w:tcW w:w="108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0,1</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53,7</w:t>
            </w:r>
          </w:p>
        </w:tc>
        <w:tc>
          <w:tcPr>
            <w:tcW w:w="89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76,8</w:t>
            </w:r>
          </w:p>
        </w:tc>
      </w:tr>
      <w:tr>
        <w:trPr>
          <w:cantSplit w:val="true"/>
        </w:trPr>
        <w:tc>
          <w:tcPr>
            <w:tcW w:w="3692"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olor w:val="000000"/>
                <w:sz w:val="20"/>
                <w:szCs w:val="20"/>
                <w:lang w:val="ru-RU"/>
              </w:rPr>
            </w:pPr>
            <w:r>
              <w:rPr>
                <w:rFonts w:ascii="Times New Roman" w:hAnsi="Times New Roman"/>
                <w:color w:val="000000"/>
                <w:sz w:val="20"/>
                <w:szCs w:val="20"/>
                <w:lang w:val="ru-RU"/>
              </w:rPr>
              <w:t>Производственные кооперативы</w:t>
            </w:r>
          </w:p>
        </w:tc>
        <w:tc>
          <w:tcPr>
            <w:tcW w:w="114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233,5</w:t>
            </w:r>
          </w:p>
        </w:tc>
        <w:tc>
          <w:tcPr>
            <w:tcW w:w="84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144</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88,2</w:t>
            </w:r>
          </w:p>
        </w:tc>
        <w:tc>
          <w:tcPr>
            <w:tcW w:w="108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0,1</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29,4</w:t>
            </w:r>
          </w:p>
        </w:tc>
        <w:tc>
          <w:tcPr>
            <w:tcW w:w="89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22,4</w:t>
            </w:r>
          </w:p>
        </w:tc>
      </w:tr>
      <w:tr>
        <w:trPr>
          <w:cantSplit w:val="true"/>
        </w:trPr>
        <w:tc>
          <w:tcPr>
            <w:tcW w:w="3692"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olor w:val="000000"/>
                <w:sz w:val="20"/>
                <w:szCs w:val="20"/>
                <w:lang w:val="ru-RU"/>
              </w:rPr>
            </w:pPr>
            <w:r>
              <w:rPr>
                <w:rFonts w:ascii="Times New Roman" w:hAnsi="Times New Roman"/>
                <w:sz w:val="20"/>
                <w:szCs w:val="20"/>
                <w:lang w:val="ru-RU"/>
              </w:rPr>
              <w:t>Государственные</w:t>
            </w:r>
            <w:r>
              <w:rPr>
                <w:rFonts w:ascii="Times New Roman" w:hAnsi="Times New Roman"/>
                <w:color w:val="000000"/>
                <w:sz w:val="20"/>
                <w:szCs w:val="20"/>
                <w:lang w:val="ru-RU"/>
              </w:rPr>
              <w:t xml:space="preserve"> и муниципальные унитарные с/х предприятия</w:t>
            </w:r>
          </w:p>
        </w:tc>
        <w:tc>
          <w:tcPr>
            <w:tcW w:w="114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29,3</w:t>
            </w:r>
          </w:p>
        </w:tc>
        <w:tc>
          <w:tcPr>
            <w:tcW w:w="84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18,8</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11,0</w:t>
            </w:r>
          </w:p>
        </w:tc>
        <w:tc>
          <w:tcPr>
            <w:tcW w:w="108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4,1</w:t>
            </w:r>
          </w:p>
        </w:tc>
        <w:tc>
          <w:tcPr>
            <w:tcW w:w="89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3,6</w:t>
            </w:r>
          </w:p>
        </w:tc>
      </w:tr>
      <w:tr>
        <w:trPr>
          <w:cantSplit w:val="true"/>
        </w:trPr>
        <w:tc>
          <w:tcPr>
            <w:tcW w:w="3692"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olor w:val="000000"/>
                <w:sz w:val="20"/>
                <w:szCs w:val="20"/>
                <w:lang w:val="ru-RU"/>
              </w:rPr>
            </w:pPr>
            <w:r>
              <w:rPr>
                <w:rFonts w:ascii="Times New Roman" w:hAnsi="Times New Roman"/>
                <w:color w:val="000000"/>
                <w:sz w:val="20"/>
                <w:szCs w:val="20"/>
                <w:lang w:val="ru-RU"/>
              </w:rPr>
              <w:t>Научно-исследовательские и учебные учреждения и заведения</w:t>
            </w:r>
          </w:p>
        </w:tc>
        <w:tc>
          <w:tcPr>
            <w:tcW w:w="114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25,4</w:t>
            </w:r>
          </w:p>
        </w:tc>
        <w:tc>
          <w:tcPr>
            <w:tcW w:w="84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20,6</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16</w:t>
            </w:r>
          </w:p>
        </w:tc>
        <w:tc>
          <w:tcPr>
            <w:tcW w:w="108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1,3</w:t>
            </w:r>
          </w:p>
        </w:tc>
        <w:tc>
          <w:tcPr>
            <w:tcW w:w="89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3,3</w:t>
            </w:r>
          </w:p>
        </w:tc>
      </w:tr>
      <w:tr>
        <w:trPr>
          <w:cantSplit w:val="true"/>
        </w:trPr>
        <w:tc>
          <w:tcPr>
            <w:tcW w:w="3692"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olor w:val="000000"/>
                <w:sz w:val="20"/>
                <w:szCs w:val="20"/>
                <w:lang w:val="ru-RU"/>
              </w:rPr>
            </w:pPr>
            <w:r>
              <w:rPr>
                <w:rFonts w:ascii="Times New Roman" w:hAnsi="Times New Roman"/>
                <w:color w:val="000000"/>
                <w:sz w:val="20"/>
                <w:szCs w:val="20"/>
                <w:lang w:val="ru-RU"/>
              </w:rPr>
              <w:t>Подсобные хозяйства</w:t>
            </w:r>
          </w:p>
        </w:tc>
        <w:tc>
          <w:tcPr>
            <w:tcW w:w="114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8,1</w:t>
            </w:r>
          </w:p>
        </w:tc>
        <w:tc>
          <w:tcPr>
            <w:tcW w:w="84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5,8</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4,1</w:t>
            </w:r>
          </w:p>
        </w:tc>
        <w:tc>
          <w:tcPr>
            <w:tcW w:w="108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0,7</w:t>
            </w:r>
          </w:p>
        </w:tc>
        <w:tc>
          <w:tcPr>
            <w:tcW w:w="89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1,0</w:t>
            </w:r>
          </w:p>
        </w:tc>
      </w:tr>
      <w:tr>
        <w:trPr>
          <w:cantSplit w:val="true"/>
        </w:trPr>
        <w:tc>
          <w:tcPr>
            <w:tcW w:w="3692"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olor w:val="000000"/>
                <w:sz w:val="20"/>
                <w:szCs w:val="20"/>
                <w:lang w:val="ru-RU"/>
              </w:rPr>
            </w:pPr>
            <w:r>
              <w:rPr>
                <w:rFonts w:ascii="Times New Roman" w:hAnsi="Times New Roman"/>
                <w:color w:val="000000"/>
                <w:sz w:val="20"/>
                <w:szCs w:val="20"/>
                <w:lang w:val="ru-RU"/>
              </w:rPr>
              <w:t>Прочие предприятия, организации и учреждения</w:t>
            </w:r>
          </w:p>
        </w:tc>
        <w:tc>
          <w:tcPr>
            <w:tcW w:w="114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18,9</w:t>
            </w:r>
          </w:p>
        </w:tc>
        <w:tc>
          <w:tcPr>
            <w:tcW w:w="84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13,6</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7</w:t>
            </w:r>
          </w:p>
        </w:tc>
        <w:tc>
          <w:tcPr>
            <w:tcW w:w="108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3,7</w:t>
            </w:r>
          </w:p>
        </w:tc>
        <w:tc>
          <w:tcPr>
            <w:tcW w:w="89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2,6</w:t>
            </w:r>
          </w:p>
        </w:tc>
      </w:tr>
      <w:tr>
        <w:trPr>
          <w:cantSplit w:val="true"/>
        </w:trPr>
        <w:tc>
          <w:tcPr>
            <w:tcW w:w="3692"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olor w:val="000000"/>
                <w:sz w:val="20"/>
                <w:szCs w:val="20"/>
                <w:lang w:val="ru-RU"/>
              </w:rPr>
            </w:pPr>
            <w:r>
              <w:rPr>
                <w:rFonts w:ascii="Times New Roman" w:hAnsi="Times New Roman"/>
                <w:color w:val="000000"/>
                <w:sz w:val="20"/>
                <w:szCs w:val="20"/>
                <w:lang w:val="ru-RU"/>
              </w:rPr>
              <w:t>Общинно-родовые хозяйства</w:t>
            </w:r>
          </w:p>
        </w:tc>
        <w:tc>
          <w:tcPr>
            <w:tcW w:w="114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w:t>
            </w:r>
          </w:p>
        </w:tc>
        <w:tc>
          <w:tcPr>
            <w:tcW w:w="108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w:t>
            </w:r>
          </w:p>
        </w:tc>
        <w:tc>
          <w:tcPr>
            <w:tcW w:w="89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w:t>
            </w:r>
          </w:p>
        </w:tc>
      </w:tr>
      <w:tr>
        <w:trPr>
          <w:cantSplit w:val="true"/>
        </w:trPr>
        <w:tc>
          <w:tcPr>
            <w:tcW w:w="3692"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color w:val="000000"/>
                <w:sz w:val="20"/>
                <w:szCs w:val="20"/>
                <w:lang w:val="ru-RU"/>
              </w:rPr>
            </w:pPr>
            <w:r>
              <w:rPr>
                <w:rFonts w:ascii="Times New Roman" w:hAnsi="Times New Roman"/>
                <w:color w:val="000000"/>
                <w:sz w:val="20"/>
                <w:szCs w:val="20"/>
                <w:lang w:val="ru-RU"/>
              </w:rPr>
              <w:t>Казачьи общества</w:t>
            </w:r>
          </w:p>
        </w:tc>
        <w:tc>
          <w:tcPr>
            <w:tcW w:w="114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0,6</w:t>
            </w:r>
          </w:p>
        </w:tc>
        <w:tc>
          <w:tcPr>
            <w:tcW w:w="84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0,6</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0,3</w:t>
            </w:r>
          </w:p>
        </w:tc>
        <w:tc>
          <w:tcPr>
            <w:tcW w:w="108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0,1</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0,2</w:t>
            </w:r>
          </w:p>
        </w:tc>
        <w:tc>
          <w:tcPr>
            <w:tcW w:w="89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color w:val="000000"/>
                <w:sz w:val="20"/>
                <w:szCs w:val="20"/>
                <w:lang w:val="ru-RU"/>
              </w:rPr>
            </w:pPr>
            <w:r>
              <w:rPr>
                <w:rFonts w:ascii="Times New Roman" w:hAnsi="Times New Roman"/>
                <w:color w:val="000000"/>
                <w:sz w:val="20"/>
                <w:szCs w:val="20"/>
                <w:lang w:val="ru-RU"/>
              </w:rPr>
              <w:t>-</w:t>
            </w:r>
          </w:p>
        </w:tc>
      </w:tr>
      <w:tr>
        <w:trPr>
          <w:cantSplit w:val="true"/>
        </w:trPr>
        <w:tc>
          <w:tcPr>
            <w:tcW w:w="3692"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rPr>
                <w:rFonts w:ascii="Times New Roman" w:hAnsi="Times New Roman"/>
                <w:b/>
                <w:b/>
                <w:color w:val="000000"/>
                <w:sz w:val="20"/>
                <w:szCs w:val="20"/>
                <w:lang w:val="ru-RU"/>
              </w:rPr>
            </w:pPr>
            <w:r>
              <w:rPr>
                <w:rFonts w:ascii="Times New Roman" w:hAnsi="Times New Roman"/>
                <w:b/>
                <w:color w:val="000000"/>
                <w:sz w:val="20"/>
                <w:szCs w:val="20"/>
                <w:lang w:val="ru-RU"/>
              </w:rPr>
              <w:t>Итого земель</w:t>
            </w:r>
          </w:p>
        </w:tc>
        <w:tc>
          <w:tcPr>
            <w:tcW w:w="1143"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b/>
                <w:b/>
                <w:color w:val="000000"/>
                <w:sz w:val="20"/>
                <w:szCs w:val="20"/>
                <w:lang w:val="ru-RU"/>
              </w:rPr>
            </w:pPr>
            <w:r>
              <w:rPr>
                <w:rFonts w:ascii="Times New Roman" w:hAnsi="Times New Roman"/>
                <w:b/>
                <w:color w:val="000000"/>
                <w:sz w:val="20"/>
                <w:szCs w:val="20"/>
                <w:lang w:val="ru-RU"/>
              </w:rPr>
              <w:t>767,9</w:t>
            </w:r>
          </w:p>
        </w:tc>
        <w:tc>
          <w:tcPr>
            <w:tcW w:w="84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b/>
                <w:b/>
                <w:color w:val="000000"/>
                <w:sz w:val="20"/>
                <w:szCs w:val="20"/>
                <w:lang w:val="ru-RU"/>
              </w:rPr>
            </w:pPr>
            <w:r>
              <w:rPr>
                <w:rFonts w:ascii="Times New Roman" w:hAnsi="Times New Roman"/>
                <w:b/>
                <w:color w:val="000000"/>
                <w:sz w:val="20"/>
                <w:szCs w:val="20"/>
                <w:lang w:val="ru-RU"/>
              </w:rPr>
              <w:t>572,3</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b/>
                <w:b/>
                <w:color w:val="000000"/>
                <w:sz w:val="20"/>
                <w:szCs w:val="20"/>
                <w:lang w:val="ru-RU"/>
              </w:rPr>
            </w:pPr>
            <w:r>
              <w:rPr>
                <w:rFonts w:ascii="Times New Roman" w:hAnsi="Times New Roman"/>
                <w:b/>
                <w:color w:val="000000"/>
                <w:sz w:val="20"/>
                <w:szCs w:val="20"/>
                <w:lang w:val="ru-RU"/>
              </w:rPr>
              <w:t>348,9</w:t>
            </w:r>
          </w:p>
        </w:tc>
        <w:tc>
          <w:tcPr>
            <w:tcW w:w="1081"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b/>
                <w:b/>
                <w:color w:val="000000"/>
                <w:sz w:val="20"/>
                <w:szCs w:val="20"/>
                <w:lang w:val="ru-RU"/>
              </w:rPr>
            </w:pPr>
            <w:r>
              <w:rPr>
                <w:rFonts w:ascii="Times New Roman" w:hAnsi="Times New Roman"/>
                <w:b/>
                <w:color w:val="000000"/>
                <w:sz w:val="20"/>
                <w:szCs w:val="20"/>
                <w:lang w:val="ru-RU"/>
              </w:rPr>
              <w:t>0,3</w:t>
            </w:r>
          </w:p>
        </w:tc>
        <w:tc>
          <w:tcPr>
            <w:tcW w:w="1080"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b/>
                <w:b/>
                <w:color w:val="000000"/>
                <w:sz w:val="20"/>
                <w:szCs w:val="20"/>
                <w:lang w:val="ru-RU"/>
              </w:rPr>
            </w:pPr>
            <w:r>
              <w:rPr>
                <w:rFonts w:ascii="Times New Roman" w:hAnsi="Times New Roman"/>
                <w:b/>
                <w:color w:val="000000"/>
                <w:sz w:val="20"/>
                <w:szCs w:val="20"/>
                <w:lang w:val="ru-RU"/>
              </w:rPr>
              <w:t>93,1</w:t>
            </w:r>
          </w:p>
        </w:tc>
        <w:tc>
          <w:tcPr>
            <w:tcW w:w="899" w:type="dxa"/>
            <w:tcBorders>
              <w:top w:val="single" w:sz="4" w:space="0" w:color="000000"/>
              <w:left w:val="single" w:sz="4" w:space="0" w:color="000000"/>
              <w:bottom w:val="single" w:sz="4" w:space="0" w:color="000000"/>
              <w:right w:val="single" w:sz="4" w:space="0" w:color="000000"/>
            </w:tcBorders>
          </w:tcPr>
          <w:p>
            <w:pPr>
              <w:pStyle w:val="NormalWeb"/>
              <w:widowControl w:val="false"/>
              <w:spacing w:lineRule="auto" w:line="240" w:before="0" w:after="0"/>
              <w:contextualSpacing/>
              <w:jc w:val="center"/>
              <w:rPr>
                <w:rFonts w:ascii="Times New Roman" w:hAnsi="Times New Roman"/>
                <w:b/>
                <w:b/>
                <w:color w:val="000000"/>
                <w:sz w:val="20"/>
                <w:szCs w:val="20"/>
                <w:lang w:val="ru-RU"/>
              </w:rPr>
            </w:pPr>
            <w:r>
              <w:rPr>
                <w:rFonts w:ascii="Times New Roman" w:hAnsi="Times New Roman"/>
                <w:b/>
                <w:color w:val="000000"/>
                <w:sz w:val="20"/>
                <w:szCs w:val="20"/>
                <w:lang w:val="ru-RU"/>
              </w:rPr>
              <w:t>109,7</w:t>
            </w:r>
          </w:p>
        </w:tc>
      </w:tr>
    </w:tbl>
    <w:p>
      <w:pPr>
        <w:pStyle w:val="Normal"/>
        <w:rPr>
          <w:rFonts w:ascii="Cambria" w:hAnsi="Cambria" w:cs="" w:asciiTheme="majorHAnsi" w:cstheme="majorBidi" w:hAnsiTheme="majorHAnsi"/>
          <w:sz w:val="16"/>
          <w:szCs w:val="16"/>
          <w:lang w:val="en-US" w:eastAsia="en-US" w:bidi="en-US"/>
        </w:rPr>
      </w:pPr>
      <w:r>
        <w:rPr>
          <w:rFonts w:cs="" w:cstheme="majorBidi" w:ascii="Cambria" w:hAnsi="Cambria"/>
          <w:sz w:val="16"/>
          <w:szCs w:val="16"/>
          <w:lang w:val="en-US" w:eastAsia="en-US" w:bidi="en-US"/>
        </w:rPr>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Общая площадь земель, используемая организациями для производства сельскохозяйственной продукции на территории Приморского края, в 2016 году  составляла 767,9 тыс. га, в том числе использовались:</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земли, </w:t>
      </w:r>
      <w:r>
        <w:rPr>
          <w:rFonts w:ascii="Times New Roman" w:hAnsi="Times New Roman"/>
          <w:spacing w:val="-2"/>
          <w:sz w:val="28"/>
          <w:szCs w:val="28"/>
          <w:lang w:val="ru-RU"/>
        </w:rPr>
        <w:t>находящиеся в собственности юридических лиц – 209,9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земли, находящиеся в общей собственности – 144,6 тыс. га, из них невостребованные земельные доли, в отношении которых организациями осуществлялось представительство – 19,7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земли, находящиеся в государственной и муниципальной собственности -  411,6 тыс. га.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 отчетном году продолжался процесс реорганизации сельскохозяйственных предприятий и поиск выгодных форм хозяйствования. В условиях сложной экономической ситуации и отсутствия серьезной поддержки со стороны государства производители сельскохозяйственной продукции в целях выживания вынуждены менять формы хозяйствования. Вследствие этого у государственных и муниципальных предприятий, подсобных сельских хозяйств и прочих организаций, где земля не подлежала приватизации, в наличии наблюдаются земельные доли в качестве приватизированных земель в процессе реорганизации этих предприятий.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Наличие земельных долей в составе хозяйствующих субъектов Приморского края, которые использовали их для сельскохозяйственного производства в 2016 году, представлено на рис. 16.</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r>
    </w:p>
    <w:p>
      <w:pPr>
        <w:pStyle w:val="NormalWeb"/>
        <w:spacing w:lineRule="auto" w:line="240" w:before="0" w:after="200"/>
        <w:contextualSpacing/>
        <w:jc w:val="both"/>
        <w:rPr>
          <w:rFonts w:ascii="Times New Roman" w:hAnsi="Times New Roman"/>
          <w:sz w:val="28"/>
          <w:szCs w:val="28"/>
          <w:lang w:val="ru-RU"/>
        </w:rPr>
      </w:pPr>
      <w:r>
        <w:rPr/>
        <w:drawing>
          <wp:inline distT="0" distB="0" distL="0" distR="0">
            <wp:extent cx="5981700" cy="1767840"/>
            <wp:effectExtent l="0" t="0" r="0" b="0"/>
            <wp:docPr id="28" name="Объект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NormalWeb"/>
        <w:spacing w:lineRule="auto" w:line="240" w:before="0" w:after="20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Web"/>
        <w:spacing w:lineRule="auto" w:line="240" w:before="0" w:after="20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t xml:space="preserve">Рис. 16. Земельные </w:t>
      </w:r>
      <w:r>
        <w:rPr>
          <w:rFonts w:cs="Times New Roman" w:ascii="Times New Roman" w:hAnsi="Times New Roman"/>
          <w:b/>
          <w:spacing w:val="-10"/>
          <w:sz w:val="24"/>
          <w:szCs w:val="24"/>
          <w:lang w:val="ru-RU"/>
        </w:rPr>
        <w:t>доли, используемые предприятиями, учреждениями, организа</w:t>
      </w:r>
      <w:r>
        <w:rPr>
          <w:rFonts w:cs="Times New Roman" w:ascii="Times New Roman" w:hAnsi="Times New Roman"/>
          <w:b/>
          <w:sz w:val="24"/>
          <w:szCs w:val="24"/>
          <w:lang w:val="ru-RU"/>
        </w:rPr>
        <w:t xml:space="preserve">циями </w:t>
        <w:br/>
        <w:tab/>
        <w:t>в 2016 году для производства сельскохозяйственной продукции</w:t>
      </w:r>
    </w:p>
    <w:p>
      <w:pPr>
        <w:pStyle w:val="NormalWeb"/>
        <w:spacing w:lineRule="auto" w:line="240" w:before="0" w:after="0"/>
        <w:ind w:firstLine="709"/>
        <w:jc w:val="both"/>
        <w:rPr>
          <w:rFonts w:ascii="Times New Roman" w:hAnsi="Times New Roman" w:cs="Times New Roman"/>
          <w:sz w:val="28"/>
          <w:szCs w:val="28"/>
          <w:lang w:val="ru-RU"/>
        </w:rPr>
      </w:pPr>
      <w:r>
        <w:rPr>
          <w:rFonts w:cs="Times New Roman" w:ascii="Times New Roman" w:hAnsi="Times New Roman"/>
          <w:sz w:val="28"/>
          <w:szCs w:val="28"/>
          <w:lang w:val="ru-RU"/>
        </w:rPr>
      </w:r>
      <w:bookmarkStart w:id="484" w:name="_Toc65489252"/>
      <w:bookmarkStart w:id="485" w:name="_Toc65489252"/>
      <w:bookmarkEnd w:id="485"/>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Наметившейся тенденции выхода собственников земельных долей из сельскохозяйственных предприятий в большинстве случаев способствует не только личное желание граждан самим обрабатывать свою землю, но и экономическая ситуация, которая приводит сельскохозяйственные предприятия к банкротству.</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Наиболее распространенной формой хозяйствования в 2016 году являются хозяйственные товарищества и общества. Они использовали более  половины (58,9 %) земель, находящихся у всех предприятий и организаций-производителей сельскохозяйственной продукции.</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Производственные кооперативы использовали около 30,4</w:t>
      </w:r>
      <w:r>
        <w:rPr>
          <w:rFonts w:ascii="Times New Roman" w:hAnsi="Times New Roman"/>
          <w:sz w:val="28"/>
          <w:szCs w:val="28"/>
        </w:rPr>
        <w:t> </w:t>
      </w:r>
      <w:r>
        <w:rPr>
          <w:rFonts w:ascii="Times New Roman" w:hAnsi="Times New Roman"/>
          <w:sz w:val="28"/>
          <w:szCs w:val="28"/>
          <w:lang w:val="ru-RU"/>
        </w:rPr>
        <w:t>% таких земель; научно-исследовательские и учебные учреждения и заведения –      3,3 %; государственные и муниципальные предприятия – 3,8 %; подсобные сельские хозяйства промышленных предприятий – 1,1 %. Доля земель, предоставленных казачьим обществам для коллективного сельскохозяйственного использования, составила около 0,1</w:t>
      </w:r>
      <w:r>
        <w:rPr>
          <w:rFonts w:ascii="Times New Roman" w:hAnsi="Times New Roman"/>
          <w:sz w:val="28"/>
          <w:szCs w:val="28"/>
        </w:rPr>
        <w:t> </w:t>
      </w:r>
      <w:r>
        <w:rPr>
          <w:rFonts w:ascii="Times New Roman" w:hAnsi="Times New Roman"/>
          <w:sz w:val="28"/>
          <w:szCs w:val="28"/>
          <w:lang w:val="ru-RU"/>
        </w:rPr>
        <w:t>%, прочим предприятиям и организациям – 2,5 %.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Вместе с тем, в крае происходит ежегодное уменьшение показателей использования предприятиями земельных долей. Граждане выделяют земельные доли в натуре для сельскохозяйственных целей, для ведения личного подсобного хозяйства или для крестьянского хозяйства, и выделенные земельные участки продают крестьянским хозяйствам, другим гражданам и сельскохозяйственным предприятиям.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Администрация предприятий по-прежнему предпочитает заключать договоры аренды земельных долей в основном с работающими в этих коллективах, меньше с пенсионерами и работниками социальной сферы.</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Сельскохозяйственные предприятия и организации для производства сельскохозяйственной продукции использовали, кроме того, земли, находящиеся в государственной и муниципальной собственности. Общая площадь таких земель в Приморском крае составила – 411,6 тыс. га или        53,6 % всех используемых предприятиями и организациями Приморского края для этих целей площадей (767,9 тыс. га).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В производственных кооперативах таких земель в 2016 году было 130,3 тыс. га от всех находящихся в государственной и муниципальной собственности и используемых хозяйствующими субъектами земель для производства сельскохозяйственной продукции. Эти земли включают участки, предоставленные предприятию дополнительно для сельскохозяйственных целей из государственной и муниципальной собственности, сюда же относятся лесные участки, водные объекты, неудобья, которые подлежат либо передаче в собственность, либо переводу в установленном порядке в земли запаса и другие категории.</w:t>
      </w:r>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Государственные и муниципальные унитарные предприятия использовали 26,8 тыс. га земель, находящихся в государственной и муниципальной собственности.</w:t>
      </w:r>
    </w:p>
    <w:p>
      <w:pPr>
        <w:pStyle w:val="NormalWeb"/>
        <w:spacing w:lineRule="auto" w:line="240" w:before="0" w:after="0"/>
        <w:ind w:firstLine="709"/>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Web"/>
        <w:spacing w:lineRule="auto" w:line="240"/>
        <w:jc w:val="center"/>
        <w:rPr>
          <w:rFonts w:ascii="Times New Roman" w:hAnsi="Times New Roman" w:cs="Times New Roman"/>
          <w:b/>
          <w:b/>
          <w:sz w:val="28"/>
          <w:szCs w:val="28"/>
          <w:lang w:val="ru-RU"/>
        </w:rPr>
      </w:pPr>
      <w:r>
        <w:rPr>
          <w:rFonts w:cs="Times New Roman" w:ascii="Times New Roman" w:hAnsi="Times New Roman"/>
          <w:b/>
          <w:sz w:val="28"/>
          <w:szCs w:val="28"/>
          <w:lang w:val="ru-RU"/>
        </w:rPr>
        <w:t xml:space="preserve">1.4.2. Использование земель гражданами для производства </w:t>
      </w:r>
      <w:bookmarkStart w:id="486" w:name="_Toc34558237"/>
      <w:bookmarkStart w:id="487" w:name="_Toc34559035"/>
      <w:bookmarkStart w:id="488" w:name="_Toc34559211"/>
      <w:r>
        <w:rPr>
          <w:rFonts w:cs="Times New Roman" w:ascii="Times New Roman" w:hAnsi="Times New Roman"/>
          <w:b/>
          <w:sz w:val="28"/>
          <w:szCs w:val="28"/>
          <w:lang w:val="ru-RU"/>
        </w:rPr>
        <w:t>сельскохозяйственной продукции (сведения о правах)</w:t>
      </w:r>
      <w:bookmarkEnd w:id="486"/>
      <w:bookmarkEnd w:id="487"/>
      <w:bookmarkEnd w:id="488"/>
    </w:p>
    <w:p>
      <w:pPr>
        <w:pStyle w:val="NormalWeb"/>
        <w:spacing w:lineRule="auto" w:line="240" w:before="0" w:after="200"/>
        <w:ind w:firstLine="709"/>
        <w:contextualSpacing/>
        <w:jc w:val="both"/>
        <w:rPr>
          <w:rFonts w:ascii="Times New Roman" w:hAnsi="Times New Roman"/>
          <w:sz w:val="28"/>
          <w:szCs w:val="28"/>
          <w:lang w:val="ru-RU"/>
        </w:rPr>
      </w:pPr>
      <w:bookmarkStart w:id="489" w:name="_Toc65489263"/>
      <w:bookmarkStart w:id="490" w:name="_Toc96823428"/>
      <w:bookmarkStart w:id="491" w:name="_Toc97106182"/>
      <w:bookmarkStart w:id="492" w:name="_Toc130628082"/>
      <w:bookmarkStart w:id="493" w:name="_Toc256850182"/>
      <w:bookmarkStart w:id="494" w:name="_Toc34212862"/>
      <w:bookmarkStart w:id="495" w:name="_Toc34558238"/>
      <w:bookmarkStart w:id="496" w:name="_Toc34559036"/>
      <w:bookmarkStart w:id="497" w:name="_Toc34559212"/>
      <w:bookmarkStart w:id="498" w:name="_Toc34560059"/>
      <w:bookmarkStart w:id="499" w:name="_Toc34560106"/>
      <w:bookmarkStart w:id="500" w:name="_Toc34560196"/>
      <w:r>
        <w:rPr>
          <w:rFonts w:ascii="Times New Roman" w:hAnsi="Times New Roman"/>
          <w:sz w:val="28"/>
          <w:szCs w:val="28"/>
          <w:lang w:val="ru-RU"/>
        </w:rPr>
        <w:t>В целом по Приморскому краю в пользовании граждан для сельскохозяйственного производства в 2016 году находилось 679,3 тыс. га земель. К землям граждан отнесены участки, предоставленные для ведения крестьянского (фермерского) хозяйства, личного подсобного хозяйства, садоводства, огородничества, животноводства, сенокошения и выпаса скота, участки при индивидуальных жилых домах (ИЖС), служебные наделы, дачные участки и земли традиционного промысла.</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На земледельческих территориях края наиболее значительные площади земель для производства сельскохозяйственной продукции предоставлены гражданам:</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под личные подсобные хозяйства – 77,4 тыс. га (11,4 % всех используемых гражданами для этих целей земель);</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под крестьянские (фермерские) хозяйства – 133 тыс. га (19,6 %);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для ведения животноводства – 5,6 тыс. га (0,8 %);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для садоводства – 23,3 тыс. га (3,4 %);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для индивидуального жилищного строительства – 17,6 тыс. га (2,6 %);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для сенокошения и выпаса скота – 21,4 тыс. га (3,2 %).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Собственники земельных долей использовали земельные участки для производства сельскохозяйственной продукции. Доля этих земель в общей площади самая большая и по состоянию на 01.01.2017 составила – 263,1 тыс. га (38,7%).</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Земли граждан, выделивших земельные доли в натуре или выкупивших земельные участки для производства сельскохозяйственной продукции,  составляют 109,7 тыс. га (16,1 %).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Крестьянские (фермерские) хозяйства осуществляли свою деятельность на землях, находящихся у них в собственности – 48 тыс. га (36,1%), доля арендованных государственных и муниципальных земель составила 63,8 тыс. га (48%); находящихся в пожизненном наследуемом владении – 1,6 тыс. га (1,2%).</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Для производства сельскохозяйственной продукции личные подсобные хозяйства также предоставлены, прежде всего, собственникам земли – 44,6 тыс. га (57,6 %). Доля земель, находящихся у граждан, занимающихся личным подсобным хозяйством на праве постоянного (бессрочного) пользования из земель государственной собственности за 2016 год составила – 10,4 тыс. га (13,4 %), </w:t>
      </w:r>
      <w:r>
        <w:rPr>
          <w:rFonts w:ascii="Times New Roman" w:hAnsi="Times New Roman"/>
          <w:spacing w:val="-4"/>
          <w:sz w:val="28"/>
          <w:szCs w:val="28"/>
          <w:lang w:val="ru-RU"/>
        </w:rPr>
        <w:t xml:space="preserve">площадь арендованных ими земель – 22,2 тыс. га     (28,7 %), </w:t>
      </w:r>
      <w:r>
        <w:rPr>
          <w:rFonts w:ascii="Times New Roman" w:hAnsi="Times New Roman"/>
          <w:sz w:val="28"/>
          <w:szCs w:val="28"/>
          <w:lang w:val="ru-RU"/>
        </w:rPr>
        <w:t>пожизненного наследуемого владения – 0,2 тыс. га (0,3 %).</w:t>
      </w:r>
    </w:p>
    <w:p>
      <w:pPr>
        <w:pStyle w:val="NormalWeb"/>
        <w:spacing w:lineRule="auto" w:line="240" w:before="240" w:after="200"/>
        <w:ind w:firstLine="709"/>
        <w:contextualSpacing/>
        <w:jc w:val="both"/>
        <w:rPr>
          <w:rFonts w:ascii="Times New Roman" w:hAnsi="Times New Roman"/>
          <w:sz w:val="28"/>
          <w:szCs w:val="28"/>
          <w:lang w:val="ru-RU"/>
        </w:rPr>
      </w:pPr>
      <w:r>
        <w:rPr>
          <w:rFonts w:ascii="Times New Roman" w:hAnsi="Times New Roman"/>
          <w:sz w:val="28"/>
          <w:szCs w:val="28"/>
          <w:lang w:val="ru-RU"/>
        </w:rPr>
        <w:t>Наибольшая доля предоставленных гражданам земель на правах собственности приходится на земли для крестьянских (фермерских) хозяйств (рис.17).</w:t>
      </w:r>
    </w:p>
    <w:p>
      <w:pPr>
        <w:pStyle w:val="NormalWeb"/>
        <w:spacing w:lineRule="auto" w:line="240" w:before="240" w:after="200"/>
        <w:ind w:firstLine="709"/>
        <w:contextualSpacing/>
        <w:jc w:val="both"/>
        <w:rPr>
          <w:rFonts w:ascii="Times New Roman" w:hAnsi="Times New Roman"/>
          <w:sz w:val="28"/>
          <w:szCs w:val="28"/>
          <w:lang w:val="ru-RU"/>
        </w:rPr>
      </w:pPr>
      <w:r>
        <w:rPr>
          <w:rFonts w:ascii="Times New Roman" w:hAnsi="Times New Roman"/>
          <w:sz w:val="28"/>
          <w:szCs w:val="28"/>
          <w:lang w:val="ru-RU"/>
        </w:rPr>
      </w:r>
    </w:p>
    <w:p>
      <w:pPr>
        <w:pStyle w:val="NormalWeb"/>
        <w:spacing w:lineRule="auto" w:line="240" w:before="240" w:after="200"/>
        <w:contextualSpacing/>
        <w:jc w:val="both"/>
        <w:rPr>
          <w:rFonts w:ascii="Times New Roman" w:hAnsi="Times New Roman"/>
          <w:sz w:val="28"/>
          <w:szCs w:val="28"/>
          <w:lang w:val="ru-RU"/>
        </w:rPr>
      </w:pPr>
      <w:r>
        <w:rPr/>
        <w:drawing>
          <wp:inline distT="0" distB="0" distL="0" distR="0">
            <wp:extent cx="5951220" cy="1828800"/>
            <wp:effectExtent l="0" t="0" r="0" b="0"/>
            <wp:docPr id="29" name="Объект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NormalWeb"/>
        <w:spacing w:lineRule="auto" w:line="240" w:before="0" w:after="20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Web"/>
        <w:spacing w:lineRule="auto" w:line="240" w:before="0" w:after="20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t xml:space="preserve">Рис. 17. Сведения о правах граждан, занимающихся сельскохозяйственным </w:t>
        <w:br/>
        <w:t>производством в 2016 году (тыс.га)</w:t>
      </w:r>
    </w:p>
    <w:p>
      <w:pPr>
        <w:pStyle w:val="NormalWeb"/>
        <w:spacing w:lineRule="auto" w:line="240" w:before="0" w:after="20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Web"/>
        <w:spacing w:lineRule="auto" w:line="240" w:before="0" w:after="20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Web"/>
        <w:spacing w:lineRule="auto" w:line="240" w:before="0" w:after="0"/>
        <w:jc w:val="center"/>
        <w:rPr>
          <w:rFonts w:ascii="Times New Roman" w:hAnsi="Times New Roman" w:cs="Times New Roman"/>
          <w:b/>
          <w:b/>
          <w:sz w:val="28"/>
          <w:szCs w:val="28"/>
          <w:lang w:val="ru-RU"/>
        </w:rPr>
      </w:pPr>
      <w:bookmarkStart w:id="501" w:name="_Toc65489263"/>
      <w:bookmarkStart w:id="502" w:name="_Toc96823428"/>
      <w:bookmarkStart w:id="503" w:name="_Toc97106182"/>
      <w:bookmarkStart w:id="504" w:name="_Toc130628082"/>
      <w:bookmarkStart w:id="505" w:name="_Toc256850182"/>
      <w:bookmarkStart w:id="506" w:name="_Toc34212862"/>
      <w:bookmarkStart w:id="507" w:name="_Toc34558238"/>
      <w:bookmarkStart w:id="508" w:name="_Toc34559036"/>
      <w:bookmarkStart w:id="509" w:name="_Toc34559212"/>
      <w:bookmarkStart w:id="510" w:name="_Toc34560059"/>
      <w:bookmarkStart w:id="511" w:name="_Toc34560106"/>
      <w:bookmarkStart w:id="512" w:name="_Toc34560196"/>
      <w:r>
        <w:rPr>
          <w:rFonts w:cs="Times New Roman" w:ascii="Times New Roman" w:hAnsi="Times New Roman"/>
          <w:b/>
          <w:sz w:val="28"/>
          <w:szCs w:val="28"/>
          <w:lang w:val="ru-RU"/>
        </w:rPr>
        <w:t xml:space="preserve">1.5. СВЕДЕНИЯ О НАЛИЧИИ ЗЕМЕЛЬ, ПРЕДОСТАВЛЕННЫХ ГРАЖДАНАМ </w:t>
      </w:r>
      <w:bookmarkStart w:id="513" w:name="_Toc34558239"/>
      <w:bookmarkStart w:id="514" w:name="_Toc34559037"/>
      <w:bookmarkStart w:id="515" w:name="_Toc34559213"/>
      <w:bookmarkStart w:id="516" w:name="_Toc34212863"/>
      <w:bookmarkStart w:id="517" w:name="_Toc34560060"/>
      <w:bookmarkStart w:id="518" w:name="_Toc34560107"/>
      <w:bookmarkStart w:id="519" w:name="_Toc34560197"/>
      <w:bookmarkStart w:id="520" w:name="_Toc3032283"/>
      <w:bookmarkEnd w:id="501"/>
      <w:bookmarkEnd w:id="502"/>
      <w:bookmarkEnd w:id="503"/>
      <w:bookmarkEnd w:id="504"/>
      <w:bookmarkEnd w:id="505"/>
      <w:bookmarkEnd w:id="506"/>
      <w:bookmarkEnd w:id="507"/>
      <w:bookmarkEnd w:id="508"/>
      <w:bookmarkEnd w:id="509"/>
      <w:bookmarkEnd w:id="510"/>
      <w:bookmarkEnd w:id="511"/>
      <w:bookmarkEnd w:id="512"/>
    </w:p>
    <w:p>
      <w:pPr>
        <w:pStyle w:val="NormalWeb"/>
        <w:spacing w:lineRule="auto" w:line="240" w:before="0" w:after="0"/>
        <w:jc w:val="center"/>
        <w:rPr>
          <w:rFonts w:ascii="Times New Roman" w:hAnsi="Times New Roman" w:cs="Times New Roman"/>
          <w:b/>
          <w:b/>
          <w:sz w:val="28"/>
          <w:szCs w:val="28"/>
          <w:lang w:val="ru-RU"/>
        </w:rPr>
      </w:pPr>
      <w:r>
        <w:rPr>
          <w:rFonts w:cs="Times New Roman" w:ascii="Times New Roman" w:hAnsi="Times New Roman"/>
          <w:b/>
          <w:sz w:val="28"/>
          <w:szCs w:val="28"/>
          <w:lang w:val="ru-RU"/>
        </w:rPr>
      </w:r>
      <w:bookmarkEnd w:id="513"/>
      <w:bookmarkEnd w:id="514"/>
      <w:bookmarkEnd w:id="515"/>
      <w:bookmarkEnd w:id="516"/>
      <w:bookmarkEnd w:id="517"/>
      <w:bookmarkEnd w:id="518"/>
      <w:bookmarkEnd w:id="519"/>
      <w:bookmarkEnd w:id="520"/>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Целью земельной реформы, начатой в Приморском крае, равно как и в Российской Федерации, в целом в 1990 году, являлось перераспределение земель в интересах создания условий для равноправного развития различных форм хозяйствования на земле, формирования многоукладной экономики, рационального использования и охраны земель. К концу 90-х годов процесс перераспределения земель в основном был завершен. Произошли значительные изменения в структуре собственности на землю. Наряду с государственной и муниципальной собственностью сложилась частная собственность на землю. В настоящее время одной из основных задач земельной реформы является оформление хозяйствующими субъектами прав на землю в соответствии с действующим законодательством.</w:t>
      </w:r>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Приоритетным направлением в процессе перераспределения земель в Приморском крае являлось предоставление земель гражданам. В настоящее время граждане продолжают получать в собственность земельные участки бесплатно и, кроме этого, граждане приобретают земельные участки в условиях рынка земли. </w:t>
      </w:r>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Сведения об общей площади земель, предоставленных и приобретенных гражданами для ведения крестьянского (фермерского) хозяйства, личного подсобного хозяйства, садоводства, огородничества, индивидуального жилищного и дачного строительства, на праве собственности, пожизненного наследуемого владения, постоянного (бессрочного) пользования, безвозмездного срочного пользования и аренды из земель государственной и муниципальной собственности представлены в таблице 10.</w:t>
      </w:r>
    </w:p>
    <w:p>
      <w:pPr>
        <w:pStyle w:val="NormalWeb"/>
        <w:spacing w:lineRule="auto" w:line="240" w:before="0" w:after="0"/>
        <w:ind w:firstLine="709"/>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Style28"/>
        <w:spacing w:lineRule="auto" w:line="240" w:before="0" w:after="200"/>
        <w:ind w:hanging="0"/>
        <w:contextualSpacing/>
        <w:jc w:val="center"/>
        <w:rPr>
          <w:rFonts w:ascii="Times New Roman" w:hAnsi="Times New Roman" w:cs="Times New Roman"/>
          <w:b/>
          <w:b/>
          <w:szCs w:val="24"/>
        </w:rPr>
      </w:pPr>
      <w:r>
        <w:rPr>
          <w:rFonts w:cs="Times New Roman" w:ascii="Times New Roman" w:hAnsi="Times New Roman"/>
          <w:b/>
          <w:szCs w:val="24"/>
        </w:rPr>
        <w:t>Сведения о наличии земель у граждан и объединений граждан</w:t>
      </w:r>
    </w:p>
    <w:p>
      <w:pPr>
        <w:pStyle w:val="Style28"/>
        <w:spacing w:lineRule="auto" w:line="240" w:before="0" w:after="0"/>
        <w:ind w:hanging="0"/>
        <w:contextualSpacing/>
        <w:jc w:val="center"/>
        <w:rPr>
          <w:rFonts w:ascii="Times New Roman" w:hAnsi="Times New Roman" w:cs="Times New Roman"/>
          <w:b/>
          <w:b/>
          <w:szCs w:val="24"/>
        </w:rPr>
      </w:pPr>
      <w:r>
        <w:rPr>
          <w:rFonts w:cs="Times New Roman" w:ascii="Times New Roman" w:hAnsi="Times New Roman"/>
          <w:b/>
          <w:szCs w:val="24"/>
        </w:rPr>
        <w:t>Приморского края на 01.01.2017  (тыс. га)</w:t>
      </w:r>
    </w:p>
    <w:p>
      <w:pPr>
        <w:pStyle w:val="Style28"/>
        <w:spacing w:lineRule="auto" w:line="240" w:before="0" w:after="0"/>
        <w:ind w:right="338" w:firstLine="720"/>
        <w:jc w:val="right"/>
        <w:rPr>
          <w:rFonts w:ascii="Times New Roman" w:hAnsi="Times New Roman" w:cs="Times New Roman"/>
          <w:szCs w:val="24"/>
        </w:rPr>
      </w:pPr>
      <w:r>
        <w:rPr>
          <w:rFonts w:cs="Times New Roman" w:ascii="Times New Roman" w:hAnsi="Times New Roman"/>
          <w:szCs w:val="24"/>
        </w:rPr>
        <w:t>Таблица 10</w:t>
      </w:r>
    </w:p>
    <w:tbl>
      <w:tblPr>
        <w:tblW w:w="9444" w:type="dxa"/>
        <w:jc w:val="center"/>
        <w:tblInd w:w="0" w:type="dxa"/>
        <w:tblLayout w:type="fixed"/>
        <w:tblCellMar>
          <w:top w:w="0" w:type="dxa"/>
          <w:left w:w="108" w:type="dxa"/>
          <w:bottom w:w="0" w:type="dxa"/>
          <w:right w:w="108" w:type="dxa"/>
        </w:tblCellMar>
        <w:tblLook w:val="00a0" w:noHBand="0" w:noVBand="0" w:firstColumn="1" w:lastRow="0" w:lastColumn="0" w:firstRow="1"/>
      </w:tblPr>
      <w:tblGrid>
        <w:gridCol w:w="2593"/>
        <w:gridCol w:w="854"/>
        <w:gridCol w:w="709"/>
        <w:gridCol w:w="708"/>
        <w:gridCol w:w="709"/>
        <w:gridCol w:w="568"/>
        <w:gridCol w:w="707"/>
        <w:gridCol w:w="710"/>
        <w:gridCol w:w="566"/>
        <w:gridCol w:w="709"/>
        <w:gridCol w:w="609"/>
      </w:tblGrid>
      <w:tr>
        <w:trPr>
          <w:trHeight w:val="407" w:hRule="atLeast"/>
          <w:cantSplit w:val="true"/>
        </w:trPr>
        <w:tc>
          <w:tcPr>
            <w:tcW w:w="259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rPr>
              <w:t>Наименование хозяйствующих субъектов, использующих землю</w:t>
            </w:r>
          </w:p>
        </w:tc>
        <w:tc>
          <w:tcPr>
            <w:tcW w:w="85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200"/>
              <w:ind w:left="113" w:right="113" w:hanging="0"/>
              <w:contextualSpacing/>
              <w:jc w:val="center"/>
              <w:rPr>
                <w:rFonts w:ascii="Times New Roman" w:hAnsi="Times New Roman"/>
                <w:sz w:val="20"/>
                <w:szCs w:val="20"/>
                <w:lang w:val="en-US" w:eastAsia="en-US"/>
              </w:rPr>
            </w:pPr>
            <w:r>
              <w:rPr>
                <w:rFonts w:ascii="Times New Roman" w:hAnsi="Times New Roman"/>
                <w:sz w:val="20"/>
                <w:szCs w:val="20"/>
              </w:rPr>
              <w:t>Количество ед.</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200"/>
              <w:ind w:left="113" w:right="113" w:hanging="0"/>
              <w:contextualSpacing/>
              <w:jc w:val="center"/>
              <w:rPr>
                <w:rFonts w:ascii="Times New Roman" w:hAnsi="Times New Roman"/>
                <w:sz w:val="20"/>
                <w:szCs w:val="20"/>
                <w:lang w:val="en-US" w:eastAsia="en-US"/>
              </w:rPr>
            </w:pPr>
            <w:r>
              <w:rPr>
                <w:rFonts w:ascii="Times New Roman" w:hAnsi="Times New Roman"/>
                <w:sz w:val="20"/>
                <w:szCs w:val="20"/>
              </w:rPr>
              <w:t>Общая площадь</w:t>
            </w:r>
          </w:p>
        </w:tc>
        <w:tc>
          <w:tcPr>
            <w:tcW w:w="3402"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val="en-US" w:eastAsia="en-US"/>
              </w:rPr>
            </w:pPr>
            <w:r>
              <w:rPr>
                <w:rFonts w:ascii="Times New Roman" w:hAnsi="Times New Roman"/>
                <w:sz w:val="20"/>
                <w:szCs w:val="20"/>
              </w:rPr>
              <w:t>Сельскохозяйственные угодья</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200"/>
              <w:ind w:left="113" w:right="113" w:hanging="0"/>
              <w:contextualSpacing/>
              <w:jc w:val="center"/>
              <w:rPr>
                <w:rFonts w:ascii="Times New Roman" w:hAnsi="Times New Roman"/>
                <w:sz w:val="20"/>
                <w:szCs w:val="20"/>
                <w:lang w:val="en-US" w:eastAsia="en-US"/>
              </w:rPr>
            </w:pPr>
            <w:r>
              <w:rPr>
                <w:rFonts w:ascii="Times New Roman" w:hAnsi="Times New Roman"/>
                <w:sz w:val="20"/>
                <w:szCs w:val="20"/>
              </w:rPr>
              <w:t>Лесные земли</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200"/>
              <w:ind w:left="113" w:right="113" w:hanging="0"/>
              <w:contextualSpacing/>
              <w:jc w:val="center"/>
              <w:rPr>
                <w:rFonts w:ascii="Times New Roman" w:hAnsi="Times New Roman"/>
                <w:sz w:val="20"/>
                <w:szCs w:val="20"/>
                <w:lang w:val="en-US" w:eastAsia="en-US"/>
              </w:rPr>
            </w:pPr>
            <w:r>
              <w:rPr>
                <w:rFonts w:ascii="Times New Roman" w:hAnsi="Times New Roman"/>
                <w:sz w:val="20"/>
                <w:szCs w:val="20"/>
              </w:rPr>
              <w:t>Земли застройки</w:t>
            </w:r>
          </w:p>
        </w:tc>
        <w:tc>
          <w:tcPr>
            <w:tcW w:w="6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200"/>
              <w:ind w:left="113" w:right="113" w:hanging="0"/>
              <w:contextualSpacing/>
              <w:jc w:val="center"/>
              <w:rPr>
                <w:rFonts w:ascii="Times New Roman" w:hAnsi="Times New Roman"/>
                <w:sz w:val="20"/>
                <w:szCs w:val="20"/>
                <w:lang w:val="en-US" w:eastAsia="en-US"/>
              </w:rPr>
            </w:pPr>
            <w:r>
              <w:rPr>
                <w:rFonts w:ascii="Times New Roman" w:hAnsi="Times New Roman"/>
                <w:sz w:val="20"/>
                <w:szCs w:val="20"/>
              </w:rPr>
              <w:t>Прочие земли</w:t>
            </w:r>
          </w:p>
        </w:tc>
      </w:tr>
      <w:tr>
        <w:trPr>
          <w:trHeight w:val="1441" w:hRule="atLeast"/>
          <w:cantSplit w:val="true"/>
        </w:trPr>
        <w:tc>
          <w:tcPr>
            <w:tcW w:w="25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eastAsia="en-US"/>
              </w:rPr>
            </w:pPr>
            <w:r>
              <w:rPr>
                <w:rFonts w:ascii="Times New Roman" w:hAnsi="Times New Roman"/>
                <w:sz w:val="20"/>
                <w:szCs w:val="20"/>
                <w:lang w:eastAsia="en-US"/>
              </w:rPr>
            </w:r>
          </w:p>
        </w:tc>
        <w:tc>
          <w:tcPr>
            <w:tcW w:w="85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val="en-US" w:eastAsia="en-US"/>
              </w:rPr>
            </w:pPr>
            <w:r>
              <w:rPr>
                <w:rFonts w:ascii="Times New Roman" w:hAnsi="Times New Roman"/>
                <w:sz w:val="20"/>
                <w:szCs w:val="20"/>
                <w:lang w:val="en-US" w:eastAsia="en-US"/>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val="en-US" w:eastAsia="en-US"/>
              </w:rPr>
            </w:pPr>
            <w:r>
              <w:rPr>
                <w:rFonts w:ascii="Times New Roman" w:hAnsi="Times New Roman"/>
                <w:sz w:val="20"/>
                <w:szCs w:val="20"/>
                <w:lang w:val="en-US" w:eastAsia="en-US"/>
              </w:rPr>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200"/>
              <w:ind w:left="113" w:right="113" w:hanging="0"/>
              <w:contextualSpacing/>
              <w:jc w:val="center"/>
              <w:rPr>
                <w:rFonts w:ascii="Times New Roman" w:hAnsi="Times New Roman"/>
                <w:sz w:val="20"/>
                <w:szCs w:val="20"/>
                <w:lang w:val="en-US" w:eastAsia="en-US"/>
              </w:rPr>
            </w:pPr>
            <w:r>
              <w:rPr>
                <w:rFonts w:ascii="Times New Roman" w:hAnsi="Times New Roman"/>
                <w:sz w:val="20"/>
                <w:szCs w:val="20"/>
              </w:rPr>
              <w:t>Пашня</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200"/>
              <w:ind w:left="113" w:right="113" w:hanging="0"/>
              <w:contextualSpacing/>
              <w:jc w:val="center"/>
              <w:rPr>
                <w:rFonts w:ascii="Times New Roman" w:hAnsi="Times New Roman"/>
                <w:sz w:val="20"/>
                <w:szCs w:val="20"/>
                <w:lang w:val="en-US" w:eastAsia="en-US"/>
              </w:rPr>
            </w:pPr>
            <w:r>
              <w:rPr>
                <w:rFonts w:ascii="Times New Roman" w:hAnsi="Times New Roman"/>
                <w:sz w:val="20"/>
                <w:szCs w:val="20"/>
              </w:rPr>
              <w:t>Залежь</w:t>
            </w:r>
          </w:p>
        </w:tc>
        <w:tc>
          <w:tcPr>
            <w:tcW w:w="568"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200"/>
              <w:ind w:left="113" w:right="113" w:hanging="0"/>
              <w:contextualSpacing/>
              <w:jc w:val="center"/>
              <w:rPr>
                <w:rFonts w:ascii="Times New Roman" w:hAnsi="Times New Roman"/>
                <w:sz w:val="20"/>
                <w:szCs w:val="20"/>
                <w:lang w:val="en-US" w:eastAsia="en-US"/>
              </w:rPr>
            </w:pPr>
            <w:r>
              <w:rPr>
                <w:rFonts w:ascii="Times New Roman" w:hAnsi="Times New Roman"/>
                <w:sz w:val="20"/>
                <w:szCs w:val="20"/>
              </w:rPr>
              <w:t>Многолетние насаждения</w:t>
            </w:r>
          </w:p>
        </w:tc>
        <w:tc>
          <w:tcPr>
            <w:tcW w:w="70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200"/>
              <w:ind w:left="113" w:right="113" w:hanging="0"/>
              <w:contextualSpacing/>
              <w:jc w:val="center"/>
              <w:rPr>
                <w:rFonts w:ascii="Times New Roman" w:hAnsi="Times New Roman"/>
                <w:sz w:val="20"/>
                <w:szCs w:val="20"/>
                <w:lang w:val="en-US" w:eastAsia="en-US"/>
              </w:rPr>
            </w:pPr>
            <w:r>
              <w:rPr>
                <w:rFonts w:ascii="Times New Roman" w:hAnsi="Times New Roman"/>
                <w:sz w:val="20"/>
                <w:szCs w:val="20"/>
              </w:rPr>
              <w:t>Сенокосы</w:t>
            </w:r>
          </w:p>
        </w:tc>
        <w:tc>
          <w:tcPr>
            <w:tcW w:w="710"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200"/>
              <w:ind w:left="113" w:right="113" w:hanging="0"/>
              <w:contextualSpacing/>
              <w:jc w:val="center"/>
              <w:rPr>
                <w:rFonts w:ascii="Times New Roman" w:hAnsi="Times New Roman"/>
                <w:sz w:val="20"/>
                <w:szCs w:val="20"/>
                <w:lang w:val="en-US" w:eastAsia="en-US"/>
              </w:rPr>
            </w:pPr>
            <w:r>
              <w:rPr>
                <w:rFonts w:ascii="Times New Roman" w:hAnsi="Times New Roman"/>
                <w:sz w:val="20"/>
                <w:szCs w:val="20"/>
              </w:rPr>
              <w:t>Пастбища</w:t>
            </w:r>
          </w:p>
        </w:tc>
        <w:tc>
          <w:tcPr>
            <w:tcW w:w="5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val="en-US" w:eastAsia="en-US"/>
              </w:rPr>
            </w:pPr>
            <w:r>
              <w:rPr>
                <w:rFonts w:ascii="Times New Roman" w:hAnsi="Times New Roman"/>
                <w:sz w:val="20"/>
                <w:szCs w:val="20"/>
                <w:lang w:val="en-US" w:eastAsia="en-US"/>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val="en-US" w:eastAsia="en-US"/>
              </w:rPr>
            </w:pPr>
            <w:r>
              <w:rPr>
                <w:rFonts w:ascii="Times New Roman" w:hAnsi="Times New Roman"/>
                <w:sz w:val="20"/>
                <w:szCs w:val="20"/>
                <w:lang w:val="en-US" w:eastAsia="en-US"/>
              </w:rPr>
            </w:r>
          </w:p>
        </w:tc>
        <w:tc>
          <w:tcPr>
            <w:tcW w:w="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val="en-US" w:eastAsia="en-US"/>
              </w:rPr>
            </w:pPr>
            <w:r>
              <w:rPr>
                <w:rFonts w:ascii="Times New Roman" w:hAnsi="Times New Roman"/>
                <w:sz w:val="20"/>
                <w:szCs w:val="20"/>
                <w:lang w:val="en-US" w:eastAsia="en-US"/>
              </w:rPr>
            </w:r>
          </w:p>
        </w:tc>
      </w:tr>
      <w:tr>
        <w:trPr>
          <w:trHeight w:val="245" w:hRule="atLeast"/>
        </w:trPr>
        <w:tc>
          <w:tcPr>
            <w:tcW w:w="25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lang w:val="en-US" w:eastAsia="en-US"/>
              </w:rPr>
            </w:pPr>
            <w:r>
              <w:rPr>
                <w:rFonts w:ascii="Times New Roman" w:hAnsi="Times New Roman"/>
                <w:sz w:val="20"/>
                <w:szCs w:val="20"/>
              </w:rPr>
              <w:t>1</w:t>
            </w:r>
          </w:p>
        </w:tc>
        <w:tc>
          <w:tcPr>
            <w:tcW w:w="85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lang w:val="en-US" w:eastAsia="en-US"/>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val="en-US" w:eastAsia="en-US"/>
              </w:rPr>
            </w:pPr>
            <w:r>
              <w:rPr>
                <w:rFonts w:ascii="Times New Roman" w:hAnsi="Times New Roman"/>
                <w:sz w:val="20"/>
                <w:szCs w:val="20"/>
              </w:rPr>
              <w:t>3</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val="en-US" w:eastAsia="en-US"/>
              </w:rPr>
            </w:pPr>
            <w:r>
              <w:rPr>
                <w:rFonts w:ascii="Times New Roman" w:hAnsi="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val="en-US" w:eastAsia="en-US"/>
              </w:rPr>
            </w:pPr>
            <w:r>
              <w:rPr>
                <w:rFonts w:ascii="Times New Roman" w:hAnsi="Times New Roman"/>
                <w:sz w:val="20"/>
                <w:szCs w:val="20"/>
              </w:rPr>
              <w:t>5</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val="en-US" w:eastAsia="en-US"/>
              </w:rPr>
            </w:pPr>
            <w:r>
              <w:rPr>
                <w:rFonts w:ascii="Times New Roman" w:hAnsi="Times New Roman"/>
                <w:sz w:val="20"/>
                <w:szCs w:val="20"/>
              </w:rPr>
              <w:t>6</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val="en-US" w:eastAsia="en-US"/>
              </w:rPr>
            </w:pPr>
            <w:r>
              <w:rPr>
                <w:rFonts w:ascii="Times New Roman" w:hAnsi="Times New Roman"/>
                <w:sz w:val="20"/>
                <w:szCs w:val="20"/>
              </w:rPr>
              <w:t>7</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val="en-US" w:eastAsia="en-US"/>
              </w:rPr>
            </w:pPr>
            <w:r>
              <w:rPr>
                <w:rFonts w:ascii="Times New Roman" w:hAnsi="Times New Roman"/>
                <w:sz w:val="20"/>
                <w:szCs w:val="20"/>
              </w:rPr>
              <w:t>8</w:t>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val="en-US" w:eastAsia="en-US"/>
              </w:rPr>
            </w:pPr>
            <w:r>
              <w:rPr>
                <w:rFonts w:ascii="Times New Roman" w:hAnsi="Times New Roman"/>
                <w:sz w:val="20"/>
                <w:szCs w:val="20"/>
              </w:rPr>
              <w:t>9</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val="en-US" w:eastAsia="en-US"/>
              </w:rPr>
            </w:pPr>
            <w:r>
              <w:rPr>
                <w:rFonts w:ascii="Times New Roman" w:hAnsi="Times New Roman"/>
                <w:sz w:val="20"/>
                <w:szCs w:val="20"/>
              </w:rPr>
              <w:t>10</w:t>
            </w:r>
          </w:p>
        </w:tc>
        <w:tc>
          <w:tcPr>
            <w:tcW w:w="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val="en-US" w:eastAsia="en-US"/>
              </w:rPr>
            </w:pPr>
            <w:r>
              <w:rPr>
                <w:rFonts w:ascii="Times New Roman" w:hAnsi="Times New Roman"/>
                <w:sz w:val="20"/>
                <w:szCs w:val="20"/>
              </w:rPr>
              <w:t>11</w:t>
            </w:r>
          </w:p>
        </w:tc>
      </w:tr>
      <w:tr>
        <w:trPr/>
        <w:tc>
          <w:tcPr>
            <w:tcW w:w="2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val="en-US" w:eastAsia="en-US"/>
              </w:rPr>
            </w:pPr>
            <w:r>
              <w:rPr>
                <w:rFonts w:ascii="Times New Roman" w:hAnsi="Times New Roman"/>
                <w:sz w:val="20"/>
                <w:szCs w:val="20"/>
              </w:rPr>
              <w:t>Крестьянские (фермерские) хозяйства</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1924</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133</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73,7</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3</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0,3</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19,3</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22,5</w:t>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2,7</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0,2</w:t>
            </w:r>
          </w:p>
        </w:tc>
        <w:tc>
          <w:tcPr>
            <w:tcW w:w="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0,8</w:t>
            </w:r>
          </w:p>
        </w:tc>
      </w:tr>
      <w:tr>
        <w:trPr/>
        <w:tc>
          <w:tcPr>
            <w:tcW w:w="2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val="en-US" w:eastAsia="en-US"/>
              </w:rPr>
            </w:pPr>
            <w:r>
              <w:rPr>
                <w:rFonts w:ascii="Times New Roman" w:hAnsi="Times New Roman"/>
                <w:sz w:val="20"/>
                <w:szCs w:val="20"/>
              </w:rPr>
              <w:t>Личные подсобные хозяйства</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140749</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77,4</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47,3</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0,9</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1,6</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9,4</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7,6</w:t>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8,0</w:t>
            </w:r>
          </w:p>
        </w:tc>
        <w:tc>
          <w:tcPr>
            <w:tcW w:w="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0,3</w:t>
            </w:r>
          </w:p>
        </w:tc>
      </w:tr>
      <w:tr>
        <w:trPr/>
        <w:tc>
          <w:tcPr>
            <w:tcW w:w="2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val="en-US" w:eastAsia="en-US"/>
              </w:rPr>
            </w:pPr>
            <w:r>
              <w:rPr>
                <w:rFonts w:ascii="Times New Roman" w:hAnsi="Times New Roman"/>
                <w:sz w:val="20"/>
                <w:szCs w:val="20"/>
              </w:rPr>
              <w:t>Садоводы и садоводческие объединения</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222948</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23,3</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0,5</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21,0</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0,4</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0,1</w:t>
            </w:r>
          </w:p>
        </w:tc>
        <w:tc>
          <w:tcPr>
            <w:tcW w:w="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0,1</w:t>
            </w:r>
          </w:p>
        </w:tc>
      </w:tr>
      <w:tr>
        <w:trPr/>
        <w:tc>
          <w:tcPr>
            <w:tcW w:w="2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val="en-US" w:eastAsia="en-US"/>
              </w:rPr>
            </w:pPr>
            <w:r>
              <w:rPr>
                <w:rFonts w:ascii="Times New Roman" w:hAnsi="Times New Roman"/>
                <w:sz w:val="20"/>
                <w:szCs w:val="20"/>
              </w:rPr>
              <w:t>Огороды и огороднические объединения</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38095</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7,1</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7,1</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r>
      <w:tr>
        <w:trPr/>
        <w:tc>
          <w:tcPr>
            <w:tcW w:w="2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eastAsia="en-US"/>
              </w:rPr>
            </w:pPr>
            <w:r>
              <w:rPr>
                <w:rFonts w:ascii="Times New Roman" w:hAnsi="Times New Roman"/>
                <w:sz w:val="20"/>
                <w:szCs w:val="20"/>
              </w:rPr>
              <w:t xml:space="preserve">Граждане, имеющие </w:t>
              <w:br/>
              <w:t>земельные участки для индивидуального жилищного строительства</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108865</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17,6</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9,4</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1,4</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0,4</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0,1</w:t>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6,0</w:t>
            </w:r>
          </w:p>
        </w:tc>
        <w:tc>
          <w:tcPr>
            <w:tcW w:w="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0,1</w:t>
            </w:r>
          </w:p>
        </w:tc>
      </w:tr>
      <w:tr>
        <w:trPr/>
        <w:tc>
          <w:tcPr>
            <w:tcW w:w="2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val="en-US" w:eastAsia="en-US"/>
              </w:rPr>
            </w:pPr>
            <w:r>
              <w:rPr>
                <w:rFonts w:ascii="Times New Roman" w:hAnsi="Times New Roman"/>
                <w:sz w:val="20"/>
                <w:szCs w:val="20"/>
              </w:rPr>
              <w:t>Животноводы и животноводческие объединения</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419</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5,6</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0,4</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2,5</w:t>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0,2</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r>
      <w:tr>
        <w:trPr/>
        <w:tc>
          <w:tcPr>
            <w:tcW w:w="2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eastAsia="en-US"/>
              </w:rPr>
            </w:pPr>
            <w:r>
              <w:rPr>
                <w:rFonts w:ascii="Times New Roman" w:hAnsi="Times New Roman"/>
                <w:sz w:val="20"/>
                <w:szCs w:val="20"/>
              </w:rPr>
              <w:t>Граждане, занимающиеся сенокошением и выпасом скота</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5216</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21,4</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0,2</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10,9</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10</w:t>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0,3</w:t>
            </w:r>
          </w:p>
        </w:tc>
        <w:tc>
          <w:tcPr>
            <w:tcW w:w="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r>
      <w:tr>
        <w:trPr>
          <w:trHeight w:val="525" w:hRule="atLeast"/>
        </w:trPr>
        <w:tc>
          <w:tcPr>
            <w:tcW w:w="2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val="en-US" w:eastAsia="en-US"/>
              </w:rPr>
            </w:pPr>
            <w:r>
              <w:rPr>
                <w:rFonts w:ascii="Times New Roman" w:hAnsi="Times New Roman"/>
                <w:sz w:val="20"/>
                <w:szCs w:val="20"/>
              </w:rPr>
              <w:t>Собственники земельных участков</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1386</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109,7</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84,7</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3,6</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10,3</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10,1</w:t>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0,4</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0,1</w:t>
            </w:r>
          </w:p>
        </w:tc>
      </w:tr>
      <w:tr>
        <w:trPr>
          <w:trHeight w:val="525" w:hRule="atLeast"/>
        </w:trPr>
        <w:tc>
          <w:tcPr>
            <w:tcW w:w="2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val="en-US" w:eastAsia="en-US"/>
              </w:rPr>
            </w:pPr>
            <w:r>
              <w:rPr>
                <w:rFonts w:ascii="Times New Roman" w:hAnsi="Times New Roman"/>
                <w:sz w:val="20"/>
                <w:szCs w:val="20"/>
              </w:rPr>
              <w:t>Собственники земельных долей</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29495</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263,1</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116,6</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23,8</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0,1</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68,2</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54,4</w:t>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c>
          <w:tcPr>
            <w:tcW w:w="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r>
      <w:tr>
        <w:trPr>
          <w:trHeight w:val="525" w:hRule="atLeast"/>
        </w:trPr>
        <w:tc>
          <w:tcPr>
            <w:tcW w:w="2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lang w:eastAsia="en-US"/>
              </w:rPr>
            </w:pPr>
            <w:r>
              <w:rPr>
                <w:rFonts w:ascii="Times New Roman" w:hAnsi="Times New Roman"/>
                <w:sz w:val="20"/>
                <w:szCs w:val="20"/>
              </w:rPr>
              <w:t>Индивидуальные предприниматели, не образовавшие крестьянское (фермерское) хозяйство</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253</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20,6</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8,1</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1,2</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b/>
                <w:b/>
                <w:sz w:val="20"/>
                <w:szCs w:val="20"/>
                <w:lang w:eastAsia="en-US"/>
              </w:rPr>
            </w:pPr>
            <w:r>
              <w:rPr>
                <w:rFonts w:ascii="Times New Roman" w:hAnsi="Times New Roman"/>
                <w:b/>
                <w:sz w:val="20"/>
                <w:szCs w:val="20"/>
                <w:lang w:eastAsia="en-US"/>
              </w:rPr>
              <w:t>-</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3</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4,8</w:t>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0,1</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0,1</w:t>
            </w:r>
          </w:p>
        </w:tc>
        <w:tc>
          <w:tcPr>
            <w:tcW w:w="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sz w:val="20"/>
                <w:szCs w:val="20"/>
                <w:lang w:eastAsia="en-US"/>
              </w:rPr>
            </w:pPr>
            <w:r>
              <w:rPr>
                <w:rFonts w:ascii="Times New Roman" w:hAnsi="Times New Roman"/>
                <w:sz w:val="20"/>
                <w:szCs w:val="20"/>
                <w:lang w:eastAsia="en-US"/>
              </w:rPr>
              <w:t>-</w:t>
            </w:r>
          </w:p>
        </w:tc>
      </w:tr>
      <w:tr>
        <w:trPr>
          <w:trHeight w:val="570" w:hRule="atLeast"/>
        </w:trPr>
        <w:tc>
          <w:tcPr>
            <w:tcW w:w="2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b/>
                <w:b/>
                <w:sz w:val="20"/>
                <w:szCs w:val="20"/>
                <w:lang w:val="en-US" w:eastAsia="en-US"/>
              </w:rPr>
            </w:pPr>
            <w:r>
              <w:rPr>
                <w:rFonts w:ascii="Times New Roman" w:hAnsi="Times New Roman"/>
                <w:b/>
                <w:sz w:val="20"/>
                <w:szCs w:val="20"/>
              </w:rPr>
              <w:t>Итого использовалось земель гражданами</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b/>
                <w:b/>
                <w:sz w:val="20"/>
                <w:szCs w:val="20"/>
                <w:lang w:eastAsia="en-US"/>
              </w:rPr>
            </w:pPr>
            <w:r>
              <w:rPr>
                <w:rFonts w:ascii="Times New Roman" w:hAnsi="Times New Roman"/>
                <w:b/>
                <w:sz w:val="20"/>
                <w:szCs w:val="20"/>
                <w:lang w:eastAsia="en-US"/>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b/>
                <w:b/>
                <w:sz w:val="20"/>
                <w:szCs w:val="20"/>
                <w:lang w:eastAsia="en-US"/>
              </w:rPr>
            </w:pPr>
            <w:r>
              <w:rPr>
                <w:rFonts w:ascii="Times New Roman" w:hAnsi="Times New Roman"/>
                <w:b/>
                <w:sz w:val="20"/>
                <w:szCs w:val="20"/>
                <w:lang w:eastAsia="en-US"/>
              </w:rPr>
              <w:t>679,3</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b/>
                <w:b/>
                <w:sz w:val="20"/>
                <w:szCs w:val="20"/>
                <w:lang w:eastAsia="en-US"/>
              </w:rPr>
            </w:pPr>
            <w:r>
              <w:rPr>
                <w:rFonts w:ascii="Times New Roman" w:hAnsi="Times New Roman"/>
                <w:b/>
                <w:sz w:val="20"/>
                <w:szCs w:val="20"/>
                <w:lang w:eastAsia="en-US"/>
              </w:rPr>
              <w:t>348,1</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b/>
                <w:b/>
                <w:sz w:val="20"/>
                <w:szCs w:val="20"/>
                <w:lang w:eastAsia="en-US"/>
              </w:rPr>
            </w:pPr>
            <w:r>
              <w:rPr>
                <w:rFonts w:ascii="Times New Roman" w:hAnsi="Times New Roman"/>
                <w:b/>
                <w:sz w:val="20"/>
                <w:szCs w:val="20"/>
                <w:lang w:eastAsia="en-US"/>
              </w:rPr>
              <w:t>32,5</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b/>
                <w:b/>
                <w:sz w:val="20"/>
                <w:szCs w:val="20"/>
                <w:lang w:eastAsia="en-US"/>
              </w:rPr>
            </w:pPr>
            <w:r>
              <w:rPr>
                <w:rFonts w:ascii="Times New Roman" w:hAnsi="Times New Roman"/>
                <w:b/>
                <w:sz w:val="20"/>
                <w:szCs w:val="20"/>
                <w:lang w:eastAsia="en-US"/>
              </w:rPr>
              <w:t>24,6</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b/>
                <w:b/>
                <w:spacing w:val="-4"/>
                <w:sz w:val="20"/>
                <w:szCs w:val="20"/>
                <w:lang w:eastAsia="en-US"/>
              </w:rPr>
            </w:pPr>
            <w:r>
              <w:rPr>
                <w:rFonts w:ascii="Times New Roman" w:hAnsi="Times New Roman"/>
                <w:b/>
                <w:spacing w:val="-4"/>
                <w:sz w:val="20"/>
                <w:szCs w:val="20"/>
                <w:lang w:eastAsia="en-US"/>
              </w:rPr>
              <w:t>122,5</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b/>
                <w:b/>
                <w:sz w:val="20"/>
                <w:szCs w:val="20"/>
                <w:lang w:eastAsia="en-US"/>
              </w:rPr>
            </w:pPr>
            <w:r>
              <w:rPr>
                <w:rFonts w:ascii="Times New Roman" w:hAnsi="Times New Roman"/>
                <w:b/>
                <w:sz w:val="20"/>
                <w:szCs w:val="20"/>
                <w:lang w:eastAsia="en-US"/>
              </w:rPr>
              <w:t>112,1</w:t>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b/>
                <w:b/>
                <w:sz w:val="20"/>
                <w:szCs w:val="20"/>
                <w:lang w:eastAsia="en-US"/>
              </w:rPr>
            </w:pPr>
            <w:r>
              <w:rPr>
                <w:rFonts w:ascii="Times New Roman" w:hAnsi="Times New Roman"/>
                <w:b/>
                <w:sz w:val="20"/>
                <w:szCs w:val="20"/>
                <w:lang w:eastAsia="en-US"/>
              </w:rPr>
              <w:t>4,8</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b/>
                <w:b/>
                <w:sz w:val="20"/>
                <w:szCs w:val="20"/>
                <w:lang w:eastAsia="en-US"/>
              </w:rPr>
            </w:pPr>
            <w:r>
              <w:rPr>
                <w:rFonts w:ascii="Times New Roman" w:hAnsi="Times New Roman"/>
                <w:b/>
                <w:sz w:val="20"/>
                <w:szCs w:val="20"/>
                <w:lang w:eastAsia="en-US"/>
              </w:rPr>
              <w:t>14,7</w:t>
            </w:r>
          </w:p>
        </w:tc>
        <w:tc>
          <w:tcPr>
            <w:tcW w:w="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jc w:val="center"/>
              <w:rPr>
                <w:rFonts w:ascii="Times New Roman" w:hAnsi="Times New Roman"/>
                <w:b/>
                <w:b/>
                <w:sz w:val="20"/>
                <w:szCs w:val="20"/>
                <w:lang w:eastAsia="en-US"/>
              </w:rPr>
            </w:pPr>
            <w:r>
              <w:rPr>
                <w:rFonts w:ascii="Times New Roman" w:hAnsi="Times New Roman"/>
                <w:b/>
                <w:sz w:val="20"/>
                <w:szCs w:val="20"/>
                <w:lang w:eastAsia="en-US"/>
              </w:rPr>
              <w:t>1,4</w:t>
            </w:r>
          </w:p>
        </w:tc>
      </w:tr>
    </w:tbl>
    <w:p>
      <w:pPr>
        <w:pStyle w:val="Style28"/>
        <w:spacing w:lineRule="auto" w:line="240" w:before="0" w:after="0"/>
        <w:ind w:right="338" w:firstLine="720"/>
        <w:jc w:val="left"/>
        <w:rPr>
          <w:rFonts w:ascii="Times New Roman" w:hAnsi="Times New Roman" w:cs="Times New Roman"/>
          <w:szCs w:val="24"/>
        </w:rPr>
      </w:pPr>
      <w:r>
        <w:rPr>
          <w:rFonts w:cs="Times New Roman" w:ascii="Times New Roman" w:hAnsi="Times New Roman"/>
          <w:szCs w:val="24"/>
        </w:rPr>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На 1 января 2017 года в Приморском крае насчитывалось 1924 крестьянских (фермерских) хозяйств, общая площадь которых составила   133 тыс. га, включая хозяйства, вошедшие в ассоциации, созданные на базе бывших колхозов.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Несмотря на имеющиеся трудности, связанные с ведением крестьянского (фермерского) хозяйства, интерес к этой форме организации сельскохозяйственного производства в Приморском крае не утрачен.</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На 1 января 2017 года в Приморском крае насчитывалось 140749 личных подсобных хозяйств, общая площадь которых составила 77,4</w:t>
      </w:r>
      <w:r>
        <w:rPr>
          <w:rFonts w:ascii="Times New Roman" w:hAnsi="Times New Roman"/>
          <w:sz w:val="28"/>
          <w:szCs w:val="28"/>
        </w:rPr>
        <w:t> </w:t>
      </w:r>
      <w:r>
        <w:rPr>
          <w:rFonts w:ascii="Times New Roman" w:hAnsi="Times New Roman"/>
          <w:sz w:val="28"/>
          <w:szCs w:val="28"/>
          <w:lang w:val="ru-RU"/>
        </w:rPr>
        <w:t>тыс.</w:t>
      </w:r>
      <w:r>
        <w:rPr>
          <w:rFonts w:ascii="Times New Roman" w:hAnsi="Times New Roman"/>
          <w:sz w:val="28"/>
          <w:szCs w:val="28"/>
        </w:rPr>
        <w:t> </w:t>
      </w:r>
      <w:r>
        <w:rPr>
          <w:rFonts w:ascii="Times New Roman" w:hAnsi="Times New Roman"/>
          <w:sz w:val="28"/>
          <w:szCs w:val="28"/>
          <w:lang w:val="ru-RU"/>
        </w:rPr>
        <w:t xml:space="preserve">га.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По состоянию на 1 января 2017 года в Приморском крае насчитывалось 222948 садоводов и садоводческих объединений, использующих 23,3</w:t>
      </w:r>
      <w:r>
        <w:rPr>
          <w:rFonts w:ascii="Times New Roman" w:hAnsi="Times New Roman"/>
          <w:sz w:val="28"/>
          <w:szCs w:val="28"/>
        </w:rPr>
        <w:t> </w:t>
      </w:r>
      <w:r>
        <w:rPr>
          <w:rFonts w:ascii="Times New Roman" w:hAnsi="Times New Roman"/>
          <w:sz w:val="28"/>
          <w:szCs w:val="28"/>
          <w:lang w:val="ru-RU"/>
        </w:rPr>
        <w:t>тыс.</w:t>
      </w:r>
      <w:r>
        <w:rPr>
          <w:rFonts w:ascii="Times New Roman" w:hAnsi="Times New Roman"/>
          <w:sz w:val="28"/>
          <w:szCs w:val="28"/>
        </w:rPr>
        <w:t> </w:t>
      </w:r>
      <w:r>
        <w:rPr>
          <w:rFonts w:ascii="Times New Roman" w:hAnsi="Times New Roman"/>
          <w:sz w:val="28"/>
          <w:szCs w:val="28"/>
          <w:lang w:val="ru-RU"/>
        </w:rPr>
        <w:t xml:space="preserve">га земель.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На 1 января 2017 года коллективным и индивидуальным огородничеством в Приморском крае занималось 38095 семей. Общая площадь отведенных под огороды земель составила 7,1 тыс.</w:t>
      </w:r>
      <w:r>
        <w:rPr>
          <w:rFonts w:ascii="Times New Roman" w:hAnsi="Times New Roman"/>
          <w:sz w:val="28"/>
          <w:szCs w:val="28"/>
        </w:rPr>
        <w:t> </w:t>
      </w:r>
      <w:r>
        <w:rPr>
          <w:rFonts w:ascii="Times New Roman" w:hAnsi="Times New Roman"/>
          <w:sz w:val="28"/>
          <w:szCs w:val="28"/>
          <w:lang w:val="ru-RU"/>
        </w:rPr>
        <w:t>га.</w:t>
      </w:r>
    </w:p>
    <w:p>
      <w:pPr>
        <w:pStyle w:val="NormalWeb"/>
        <w:spacing w:lineRule="auto" w:line="240" w:before="0" w:after="0"/>
        <w:ind w:firstLine="709"/>
        <w:contextualSpacing/>
        <w:jc w:val="both"/>
        <w:rPr>
          <w:rFonts w:ascii="Times New Roman" w:hAnsi="Times New Roman"/>
          <w:sz w:val="28"/>
          <w:szCs w:val="28"/>
          <w:lang w:val="ru-RU"/>
        </w:rPr>
      </w:pPr>
      <w:r>
        <w:rPr>
          <w:rFonts w:ascii="Times New Roman" w:hAnsi="Times New Roman"/>
          <w:sz w:val="28"/>
          <w:szCs w:val="28"/>
          <w:lang w:val="ru-RU"/>
        </w:rPr>
        <w:t>Наличие земель у граждан и объединений граждан, а также динамика изменения их площадей на территории Приморского края представлена в таблице 11 и на рис. 18.</w:t>
      </w:r>
    </w:p>
    <w:p>
      <w:pPr>
        <w:pStyle w:val="NormalWeb"/>
        <w:spacing w:lineRule="auto" w:line="240" w:before="0" w:after="200"/>
        <w:ind w:firstLine="851"/>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Web"/>
        <w:spacing w:lineRule="auto" w:line="240" w:before="0" w:after="20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t>Динамика наличия земель у граждан в Приморском крае за 2012– 2016</w:t>
      </w:r>
      <w:r>
        <w:rPr>
          <w:rFonts w:cs="Times New Roman" w:ascii="Times New Roman" w:hAnsi="Times New Roman"/>
          <w:b/>
          <w:sz w:val="24"/>
          <w:szCs w:val="24"/>
        </w:rPr>
        <w:t> </w:t>
      </w:r>
      <w:r>
        <w:rPr>
          <w:rFonts w:cs="Times New Roman" w:ascii="Times New Roman" w:hAnsi="Times New Roman"/>
          <w:b/>
          <w:sz w:val="24"/>
          <w:szCs w:val="24"/>
          <w:lang w:val="ru-RU"/>
        </w:rPr>
        <w:t>годы</w:t>
      </w:r>
    </w:p>
    <w:p>
      <w:pPr>
        <w:pStyle w:val="Normal"/>
        <w:spacing w:before="0" w:after="200"/>
        <w:contextualSpacing/>
        <w:jc w:val="right"/>
        <w:rPr>
          <w:rFonts w:ascii="Times New Roman" w:hAnsi="Times New Roman" w:cs="Times New Roman"/>
          <w:sz w:val="24"/>
          <w:szCs w:val="24"/>
        </w:rPr>
      </w:pPr>
      <w:r>
        <w:rPr>
          <w:rFonts w:cs="Times New Roman" w:ascii="Times New Roman" w:hAnsi="Times New Roman"/>
          <w:sz w:val="24"/>
          <w:szCs w:val="24"/>
        </w:rPr>
        <w:t>Таблица 11</w:t>
      </w:r>
    </w:p>
    <w:tbl>
      <w:tblPr>
        <w:tblW w:w="9687"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660"/>
        <w:gridCol w:w="3512"/>
        <w:gridCol w:w="1102"/>
        <w:gridCol w:w="1103"/>
        <w:gridCol w:w="1104"/>
        <w:gridCol w:w="1102"/>
        <w:gridCol w:w="1103"/>
      </w:tblGrid>
      <w:tr>
        <w:trPr>
          <w:trHeight w:val="774"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0"/>
                <w:szCs w:val="20"/>
                <w:lang w:val="en-US" w:eastAsia="en-US"/>
              </w:rPr>
            </w:pPr>
            <w:r>
              <w:rPr>
                <w:rFonts w:ascii="Times New Roman" w:hAnsi="Times New Roman"/>
                <w:sz w:val="20"/>
                <w:szCs w:val="20"/>
              </w:rPr>
              <w:t xml:space="preserve">№ </w:t>
            </w:r>
            <w:r>
              <w:rPr>
                <w:rFonts w:ascii="Times New Roman" w:hAnsi="Times New Roman"/>
                <w:sz w:val="20"/>
                <w:szCs w:val="20"/>
              </w:rPr>
              <w:t>п.п.</w:t>
            </w:r>
          </w:p>
        </w:tc>
        <w:tc>
          <w:tcPr>
            <w:tcW w:w="35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0"/>
                <w:szCs w:val="20"/>
                <w:lang w:val="en-US" w:eastAsia="en-US"/>
              </w:rPr>
            </w:pPr>
            <w:r>
              <w:rPr>
                <w:rFonts w:ascii="Times New Roman" w:hAnsi="Times New Roman"/>
                <w:sz w:val="20"/>
                <w:szCs w:val="20"/>
              </w:rPr>
              <w:t>Целевое назначение земельного участка</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0"/>
                <w:szCs w:val="20"/>
              </w:rPr>
            </w:pPr>
            <w:r>
              <w:rPr>
                <w:rFonts w:ascii="Times New Roman" w:hAnsi="Times New Roman"/>
                <w:sz w:val="20"/>
                <w:szCs w:val="20"/>
              </w:rPr>
              <w:t>2012 г.</w:t>
            </w:r>
          </w:p>
        </w:tc>
        <w:tc>
          <w:tcPr>
            <w:tcW w:w="11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0"/>
                <w:szCs w:val="20"/>
              </w:rPr>
            </w:pPr>
            <w:r>
              <w:rPr>
                <w:rFonts w:ascii="Times New Roman" w:hAnsi="Times New Roman"/>
                <w:sz w:val="20"/>
                <w:szCs w:val="20"/>
              </w:rPr>
              <w:t>2013 г.</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0"/>
                <w:szCs w:val="20"/>
                <w:lang w:eastAsia="en-US"/>
              </w:rPr>
            </w:pPr>
            <w:r>
              <w:rPr>
                <w:rFonts w:ascii="Times New Roman" w:hAnsi="Times New Roman"/>
                <w:sz w:val="20"/>
                <w:szCs w:val="20"/>
                <w:lang w:eastAsia="en-US"/>
              </w:rPr>
              <w:t>2014 г.</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0"/>
                <w:szCs w:val="20"/>
                <w:lang w:eastAsia="en-US"/>
              </w:rPr>
            </w:pPr>
            <w:r>
              <w:rPr>
                <w:rFonts w:ascii="Times New Roman" w:hAnsi="Times New Roman"/>
                <w:sz w:val="20"/>
                <w:szCs w:val="20"/>
                <w:lang w:eastAsia="en-US"/>
              </w:rPr>
              <w:t>2015 г.</w:t>
            </w:r>
          </w:p>
        </w:tc>
        <w:tc>
          <w:tcPr>
            <w:tcW w:w="11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0"/>
                <w:szCs w:val="20"/>
                <w:lang w:eastAsia="en-US"/>
              </w:rPr>
            </w:pPr>
            <w:r>
              <w:rPr>
                <w:rFonts w:ascii="Times New Roman" w:hAnsi="Times New Roman"/>
                <w:sz w:val="20"/>
                <w:szCs w:val="20"/>
                <w:lang w:eastAsia="en-US"/>
              </w:rPr>
              <w:t>2016 г.</w:t>
            </w:r>
          </w:p>
        </w:tc>
      </w:tr>
      <w:tr>
        <w:trPr>
          <w:trHeight w:val="585" w:hRule="atLeast"/>
        </w:trPr>
        <w:tc>
          <w:tcPr>
            <w:tcW w:w="66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0"/>
                <w:szCs w:val="20"/>
                <w:lang w:val="en-US" w:eastAsia="en-US"/>
              </w:rPr>
            </w:pPr>
            <w:r>
              <w:rPr>
                <w:rFonts w:ascii="Times New Roman" w:hAnsi="Times New Roman"/>
                <w:sz w:val="20"/>
                <w:szCs w:val="20"/>
              </w:rPr>
              <w:t>1</w:t>
            </w:r>
          </w:p>
        </w:tc>
        <w:tc>
          <w:tcPr>
            <w:tcW w:w="351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rPr>
                <w:rFonts w:ascii="Times New Roman" w:hAnsi="Times New Roman"/>
                <w:sz w:val="20"/>
                <w:szCs w:val="20"/>
              </w:rPr>
            </w:pPr>
            <w:r>
              <w:rPr>
                <w:rFonts w:ascii="Times New Roman" w:hAnsi="Times New Roman"/>
                <w:sz w:val="20"/>
                <w:szCs w:val="20"/>
              </w:rPr>
              <w:t>Крестьянское (фермерское) хозяйство</w:t>
            </w:r>
          </w:p>
          <w:p>
            <w:pPr>
              <w:pStyle w:val="Normal"/>
              <w:widowControl w:val="false"/>
              <w:spacing w:lineRule="auto" w:line="240" w:before="0" w:after="200"/>
              <w:contextualSpacing/>
              <w:rPr>
                <w:rFonts w:ascii="Times New Roman" w:hAnsi="Times New Roman"/>
                <w:i/>
                <w:i/>
                <w:sz w:val="20"/>
                <w:szCs w:val="20"/>
                <w:lang w:val="en-US" w:eastAsia="en-US"/>
              </w:rPr>
            </w:pPr>
            <w:r>
              <w:rPr>
                <w:rFonts w:ascii="Times New Roman" w:hAnsi="Times New Roman"/>
                <w:i/>
                <w:sz w:val="20"/>
                <w:szCs w:val="20"/>
              </w:rPr>
              <w:t>количество</w:t>
            </w:r>
          </w:p>
        </w:tc>
        <w:tc>
          <w:tcPr>
            <w:tcW w:w="110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t>1882</w:t>
            </w:r>
          </w:p>
        </w:tc>
        <w:tc>
          <w:tcPr>
            <w:tcW w:w="1103"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t>1926</w:t>
            </w:r>
          </w:p>
        </w:tc>
        <w:tc>
          <w:tcPr>
            <w:tcW w:w="1104"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t>1930</w:t>
            </w:r>
          </w:p>
        </w:tc>
        <w:tc>
          <w:tcPr>
            <w:tcW w:w="110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t>1885</w:t>
            </w:r>
          </w:p>
        </w:tc>
        <w:tc>
          <w:tcPr>
            <w:tcW w:w="1103"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t>1924</w:t>
            </w:r>
          </w:p>
        </w:tc>
      </w:tr>
      <w:tr>
        <w:trPr/>
        <w:tc>
          <w:tcPr>
            <w:tcW w:w="6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3512" w:type="dxa"/>
            <w:tcBorders>
              <w:left w:val="single" w:sz="4" w:space="0" w:color="000000"/>
              <w:right w:val="single" w:sz="4" w:space="0" w:color="000000"/>
            </w:tcBorders>
          </w:tcPr>
          <w:p>
            <w:pPr>
              <w:pStyle w:val="Normal"/>
              <w:widowControl w:val="false"/>
              <w:spacing w:lineRule="auto" w:line="240" w:before="0" w:after="0"/>
              <w:contextualSpacing/>
              <w:rPr>
                <w:rFonts w:ascii="Times New Roman" w:hAnsi="Times New Roman"/>
                <w:i/>
                <w:i/>
                <w:sz w:val="20"/>
                <w:szCs w:val="20"/>
                <w:lang w:eastAsia="en-US"/>
              </w:rPr>
            </w:pPr>
            <w:r>
              <w:rPr>
                <w:rFonts w:ascii="Times New Roman" w:hAnsi="Times New Roman"/>
                <w:i/>
                <w:sz w:val="20"/>
                <w:szCs w:val="20"/>
                <w:lang w:eastAsia="en-US"/>
              </w:rPr>
              <w:t>Площадь(тыс.га)</w:t>
            </w:r>
          </w:p>
        </w:tc>
        <w:tc>
          <w:tcPr>
            <w:tcW w:w="1102"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lang w:eastAsia="en-US"/>
              </w:rPr>
            </w:pPr>
            <w:r>
              <w:rPr>
                <w:rFonts w:ascii="Times New Roman" w:hAnsi="Times New Roman"/>
                <w:sz w:val="20"/>
                <w:szCs w:val="20"/>
              </w:rPr>
              <w:t>88,2</w:t>
            </w:r>
          </w:p>
        </w:tc>
        <w:tc>
          <w:tcPr>
            <w:tcW w:w="1103"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100,7</w:t>
            </w:r>
          </w:p>
        </w:tc>
        <w:tc>
          <w:tcPr>
            <w:tcW w:w="1104"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110,9</w:t>
            </w:r>
          </w:p>
        </w:tc>
        <w:tc>
          <w:tcPr>
            <w:tcW w:w="1102"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119,7</w:t>
            </w:r>
          </w:p>
        </w:tc>
        <w:tc>
          <w:tcPr>
            <w:tcW w:w="1103"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133</w:t>
            </w:r>
          </w:p>
        </w:tc>
      </w:tr>
      <w:tr>
        <w:trPr>
          <w:trHeight w:val="76" w:hRule="atLeast"/>
        </w:trPr>
        <w:tc>
          <w:tcPr>
            <w:tcW w:w="6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351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i/>
                <w:i/>
                <w:sz w:val="20"/>
                <w:szCs w:val="20"/>
                <w:lang w:val="en-US" w:eastAsia="en-US"/>
              </w:rPr>
            </w:pPr>
            <w:r>
              <w:rPr>
                <w:rFonts w:ascii="Times New Roman" w:hAnsi="Times New Roman"/>
                <w:i/>
                <w:sz w:val="20"/>
                <w:szCs w:val="20"/>
                <w:lang w:val="en-US" w:eastAsia="en-US"/>
              </w:rPr>
            </w:r>
          </w:p>
        </w:tc>
        <w:tc>
          <w:tcPr>
            <w:tcW w:w="110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lang w:val="en-US" w:eastAsia="en-US"/>
              </w:rPr>
            </w:pPr>
            <w:r>
              <w:rPr>
                <w:rFonts w:ascii="Times New Roman" w:hAnsi="Times New Roman"/>
                <w:sz w:val="20"/>
                <w:szCs w:val="20"/>
                <w:lang w:val="en-US" w:eastAsia="en-US"/>
              </w:rPr>
            </w:r>
          </w:p>
        </w:tc>
        <w:tc>
          <w:tcPr>
            <w:tcW w:w="1103"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r>
          </w:p>
        </w:tc>
        <w:tc>
          <w:tcPr>
            <w:tcW w:w="1104"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r>
          </w:p>
        </w:tc>
        <w:tc>
          <w:tcPr>
            <w:tcW w:w="110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r>
          </w:p>
        </w:tc>
        <w:tc>
          <w:tcPr>
            <w:tcW w:w="1103"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r>
          </w:p>
        </w:tc>
      </w:tr>
      <w:tr>
        <w:trPr/>
        <w:tc>
          <w:tcPr>
            <w:tcW w:w="66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0"/>
                <w:szCs w:val="20"/>
                <w:lang w:val="en-US" w:eastAsia="en-US"/>
              </w:rPr>
            </w:pPr>
            <w:r>
              <w:rPr>
                <w:rFonts w:ascii="Times New Roman" w:hAnsi="Times New Roman"/>
                <w:sz w:val="20"/>
                <w:szCs w:val="20"/>
              </w:rPr>
              <w:t>2</w:t>
            </w:r>
          </w:p>
        </w:tc>
        <w:tc>
          <w:tcPr>
            <w:tcW w:w="351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rPr>
                <w:rFonts w:ascii="Times New Roman" w:hAnsi="Times New Roman"/>
                <w:sz w:val="20"/>
                <w:szCs w:val="20"/>
                <w:lang w:val="en-US" w:eastAsia="en-US"/>
              </w:rPr>
            </w:pPr>
            <w:r>
              <w:rPr>
                <w:rFonts w:ascii="Times New Roman" w:hAnsi="Times New Roman"/>
                <w:sz w:val="20"/>
                <w:szCs w:val="20"/>
              </w:rPr>
              <w:t>Личное подсобное хозяйство</w:t>
            </w:r>
          </w:p>
        </w:tc>
        <w:tc>
          <w:tcPr>
            <w:tcW w:w="110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c>
          <w:tcPr>
            <w:tcW w:w="1103"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c>
          <w:tcPr>
            <w:tcW w:w="1104"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c>
          <w:tcPr>
            <w:tcW w:w="110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c>
          <w:tcPr>
            <w:tcW w:w="1103"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r>
      <w:tr>
        <w:trPr/>
        <w:tc>
          <w:tcPr>
            <w:tcW w:w="6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3512" w:type="dxa"/>
            <w:tcBorders>
              <w:left w:val="single" w:sz="4" w:space="0" w:color="000000"/>
              <w:right w:val="single" w:sz="4" w:space="0" w:color="000000"/>
            </w:tcBorders>
          </w:tcPr>
          <w:p>
            <w:pPr>
              <w:pStyle w:val="Normal"/>
              <w:widowControl w:val="false"/>
              <w:spacing w:lineRule="auto" w:line="240" w:before="0" w:after="0"/>
              <w:contextualSpacing/>
              <w:rPr>
                <w:rFonts w:ascii="Times New Roman" w:hAnsi="Times New Roman"/>
                <w:i/>
                <w:i/>
                <w:sz w:val="20"/>
                <w:szCs w:val="20"/>
                <w:lang w:val="en-US" w:eastAsia="en-US"/>
              </w:rPr>
            </w:pPr>
            <w:r>
              <w:rPr>
                <w:rFonts w:ascii="Times New Roman" w:hAnsi="Times New Roman"/>
                <w:i/>
                <w:sz w:val="20"/>
                <w:szCs w:val="20"/>
              </w:rPr>
              <w:t>количество</w:t>
            </w:r>
          </w:p>
        </w:tc>
        <w:tc>
          <w:tcPr>
            <w:tcW w:w="1102"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lang w:eastAsia="en-US"/>
              </w:rPr>
            </w:pPr>
            <w:r>
              <w:rPr>
                <w:rFonts w:ascii="Times New Roman" w:hAnsi="Times New Roman"/>
                <w:sz w:val="20"/>
                <w:szCs w:val="20"/>
              </w:rPr>
              <w:t>139115</w:t>
            </w:r>
          </w:p>
        </w:tc>
        <w:tc>
          <w:tcPr>
            <w:tcW w:w="1103" w:type="dxa"/>
            <w:tcBorders>
              <w:left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139287</w:t>
            </w:r>
          </w:p>
        </w:tc>
        <w:tc>
          <w:tcPr>
            <w:tcW w:w="1104" w:type="dxa"/>
            <w:tcBorders>
              <w:left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139687</w:t>
            </w:r>
          </w:p>
        </w:tc>
        <w:tc>
          <w:tcPr>
            <w:tcW w:w="1102"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139692</w:t>
            </w:r>
          </w:p>
        </w:tc>
        <w:tc>
          <w:tcPr>
            <w:tcW w:w="1103"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140749</w:t>
            </w:r>
          </w:p>
        </w:tc>
      </w:tr>
      <w:tr>
        <w:trPr/>
        <w:tc>
          <w:tcPr>
            <w:tcW w:w="6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351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i/>
                <w:i/>
                <w:sz w:val="20"/>
                <w:szCs w:val="20"/>
                <w:lang w:val="en-US" w:eastAsia="en-US"/>
              </w:rPr>
            </w:pPr>
            <w:r>
              <w:rPr>
                <w:rFonts w:ascii="Times New Roman" w:hAnsi="Times New Roman"/>
                <w:i/>
                <w:sz w:val="20"/>
                <w:szCs w:val="20"/>
              </w:rPr>
              <w:t>площадь (тыс. га)</w:t>
            </w:r>
          </w:p>
        </w:tc>
        <w:tc>
          <w:tcPr>
            <w:tcW w:w="110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lang w:eastAsia="en-US"/>
              </w:rPr>
            </w:pPr>
            <w:r>
              <w:rPr>
                <w:rFonts w:ascii="Times New Roman" w:hAnsi="Times New Roman"/>
                <w:sz w:val="20"/>
                <w:szCs w:val="20"/>
              </w:rPr>
              <w:t>76,3</w:t>
            </w:r>
          </w:p>
        </w:tc>
        <w:tc>
          <w:tcPr>
            <w:tcW w:w="1103"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76,6</w:t>
            </w:r>
          </w:p>
        </w:tc>
        <w:tc>
          <w:tcPr>
            <w:tcW w:w="1104"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76,9</w:t>
            </w:r>
          </w:p>
        </w:tc>
        <w:tc>
          <w:tcPr>
            <w:tcW w:w="110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77,1</w:t>
            </w:r>
          </w:p>
        </w:tc>
        <w:tc>
          <w:tcPr>
            <w:tcW w:w="1103"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77,4</w:t>
            </w:r>
          </w:p>
        </w:tc>
      </w:tr>
      <w:tr>
        <w:trPr/>
        <w:tc>
          <w:tcPr>
            <w:tcW w:w="66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0"/>
                <w:szCs w:val="20"/>
                <w:lang w:val="en-US" w:eastAsia="en-US"/>
              </w:rPr>
            </w:pPr>
            <w:r>
              <w:rPr>
                <w:rFonts w:ascii="Times New Roman" w:hAnsi="Times New Roman"/>
                <w:sz w:val="20"/>
                <w:szCs w:val="20"/>
              </w:rPr>
              <w:t>3</w:t>
            </w:r>
          </w:p>
        </w:tc>
        <w:tc>
          <w:tcPr>
            <w:tcW w:w="351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rPr>
                <w:rFonts w:ascii="Times New Roman" w:hAnsi="Times New Roman"/>
                <w:sz w:val="20"/>
                <w:szCs w:val="20"/>
                <w:lang w:val="en-US" w:eastAsia="en-US"/>
              </w:rPr>
            </w:pPr>
            <w:r>
              <w:rPr>
                <w:rFonts w:ascii="Times New Roman" w:hAnsi="Times New Roman"/>
                <w:sz w:val="20"/>
                <w:szCs w:val="20"/>
              </w:rPr>
              <w:t>Садоводство</w:t>
            </w:r>
          </w:p>
        </w:tc>
        <w:tc>
          <w:tcPr>
            <w:tcW w:w="110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sz w:val="20"/>
                <w:szCs w:val="20"/>
              </w:rPr>
            </w:pPr>
            <w:r>
              <w:rPr>
                <w:rFonts w:ascii="Times New Roman" w:hAnsi="Times New Roman"/>
                <w:sz w:val="20"/>
                <w:szCs w:val="20"/>
              </w:rPr>
            </w:r>
          </w:p>
        </w:tc>
        <w:tc>
          <w:tcPr>
            <w:tcW w:w="1103"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sz w:val="20"/>
                <w:szCs w:val="20"/>
              </w:rPr>
            </w:pPr>
            <w:r>
              <w:rPr>
                <w:rFonts w:ascii="Times New Roman" w:hAnsi="Times New Roman"/>
                <w:sz w:val="20"/>
                <w:szCs w:val="20"/>
              </w:rPr>
            </w:r>
          </w:p>
        </w:tc>
        <w:tc>
          <w:tcPr>
            <w:tcW w:w="1104"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c>
          <w:tcPr>
            <w:tcW w:w="110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c>
          <w:tcPr>
            <w:tcW w:w="1103"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r>
      <w:tr>
        <w:trPr>
          <w:trHeight w:val="470" w:hRule="atLeast"/>
        </w:trPr>
        <w:tc>
          <w:tcPr>
            <w:tcW w:w="6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351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i/>
                <w:i/>
                <w:sz w:val="20"/>
                <w:szCs w:val="20"/>
                <w:lang w:val="en-US" w:eastAsia="en-US"/>
              </w:rPr>
            </w:pPr>
            <w:r>
              <w:rPr>
                <w:rFonts w:ascii="Times New Roman" w:hAnsi="Times New Roman"/>
                <w:i/>
                <w:sz w:val="20"/>
                <w:szCs w:val="20"/>
              </w:rPr>
              <w:t>количество</w:t>
            </w:r>
          </w:p>
          <w:p>
            <w:pPr>
              <w:pStyle w:val="Normal"/>
              <w:widowControl w:val="false"/>
              <w:spacing w:lineRule="auto" w:line="240" w:before="0" w:after="0"/>
              <w:contextualSpacing/>
              <w:rPr>
                <w:rFonts w:ascii="Times New Roman" w:hAnsi="Times New Roman"/>
                <w:i/>
                <w:i/>
                <w:sz w:val="20"/>
                <w:szCs w:val="20"/>
                <w:lang w:val="en-US" w:eastAsia="en-US"/>
              </w:rPr>
            </w:pPr>
            <w:r>
              <w:rPr>
                <w:rFonts w:ascii="Times New Roman" w:hAnsi="Times New Roman"/>
                <w:i/>
                <w:sz w:val="20"/>
                <w:szCs w:val="20"/>
              </w:rPr>
              <w:t>площадь (тыс. га)</w:t>
            </w:r>
          </w:p>
        </w:tc>
        <w:tc>
          <w:tcPr>
            <w:tcW w:w="110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lang w:eastAsia="en-US"/>
              </w:rPr>
            </w:pPr>
            <w:r>
              <w:rPr>
                <w:rFonts w:ascii="Times New Roman" w:hAnsi="Times New Roman"/>
                <w:sz w:val="20"/>
                <w:szCs w:val="20"/>
              </w:rPr>
              <w:t>225433</w:t>
            </w:r>
          </w:p>
          <w:p>
            <w:pPr>
              <w:pStyle w:val="Normal"/>
              <w:widowControl w:val="false"/>
              <w:spacing w:lineRule="auto" w:line="240" w:before="0" w:after="0"/>
              <w:contextualSpacing/>
              <w:jc w:val="both"/>
              <w:rPr>
                <w:rFonts w:ascii="Times New Roman" w:hAnsi="Times New Roman"/>
                <w:sz w:val="20"/>
                <w:szCs w:val="20"/>
                <w:lang w:eastAsia="en-US"/>
              </w:rPr>
            </w:pPr>
            <w:r>
              <w:rPr>
                <w:rFonts w:ascii="Times New Roman" w:hAnsi="Times New Roman"/>
                <w:sz w:val="20"/>
                <w:szCs w:val="20"/>
              </w:rPr>
              <w:t>23,5</w:t>
            </w:r>
          </w:p>
        </w:tc>
        <w:tc>
          <w:tcPr>
            <w:tcW w:w="1103"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225351</w:t>
            </w:r>
          </w:p>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23,5</w:t>
            </w:r>
          </w:p>
        </w:tc>
        <w:tc>
          <w:tcPr>
            <w:tcW w:w="1104"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224053</w:t>
            </w:r>
          </w:p>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23,3</w:t>
            </w:r>
          </w:p>
        </w:tc>
        <w:tc>
          <w:tcPr>
            <w:tcW w:w="110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224053</w:t>
            </w:r>
          </w:p>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23,3</w:t>
            </w:r>
          </w:p>
        </w:tc>
        <w:tc>
          <w:tcPr>
            <w:tcW w:w="1103"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222948</w:t>
            </w:r>
          </w:p>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23,3</w:t>
            </w:r>
          </w:p>
        </w:tc>
      </w:tr>
      <w:tr>
        <w:trPr/>
        <w:tc>
          <w:tcPr>
            <w:tcW w:w="66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0"/>
                <w:szCs w:val="20"/>
                <w:lang w:val="en-US" w:eastAsia="en-US"/>
              </w:rPr>
            </w:pPr>
            <w:r>
              <w:rPr>
                <w:rFonts w:ascii="Times New Roman" w:hAnsi="Times New Roman"/>
                <w:sz w:val="20"/>
                <w:szCs w:val="20"/>
              </w:rPr>
              <w:t>4</w:t>
            </w:r>
          </w:p>
        </w:tc>
        <w:tc>
          <w:tcPr>
            <w:tcW w:w="351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rPr>
                <w:rFonts w:ascii="Times New Roman" w:hAnsi="Times New Roman"/>
                <w:sz w:val="20"/>
                <w:szCs w:val="20"/>
                <w:lang w:val="en-US" w:eastAsia="en-US"/>
              </w:rPr>
            </w:pPr>
            <w:r>
              <w:rPr>
                <w:rFonts w:ascii="Times New Roman" w:hAnsi="Times New Roman"/>
                <w:sz w:val="20"/>
                <w:szCs w:val="20"/>
              </w:rPr>
              <w:t>Огородничество</w:t>
            </w:r>
          </w:p>
        </w:tc>
        <w:tc>
          <w:tcPr>
            <w:tcW w:w="110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sz w:val="20"/>
                <w:szCs w:val="20"/>
              </w:rPr>
            </w:pPr>
            <w:r>
              <w:rPr>
                <w:rFonts w:ascii="Times New Roman" w:hAnsi="Times New Roman"/>
                <w:sz w:val="20"/>
                <w:szCs w:val="20"/>
              </w:rPr>
            </w:r>
          </w:p>
        </w:tc>
        <w:tc>
          <w:tcPr>
            <w:tcW w:w="1103"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sz w:val="20"/>
                <w:szCs w:val="20"/>
              </w:rPr>
            </w:pPr>
            <w:r>
              <w:rPr>
                <w:rFonts w:ascii="Times New Roman" w:hAnsi="Times New Roman"/>
                <w:sz w:val="20"/>
                <w:szCs w:val="20"/>
              </w:rPr>
            </w:r>
          </w:p>
        </w:tc>
        <w:tc>
          <w:tcPr>
            <w:tcW w:w="1104"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c>
          <w:tcPr>
            <w:tcW w:w="110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c>
          <w:tcPr>
            <w:tcW w:w="1103"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r>
      <w:tr>
        <w:trPr/>
        <w:tc>
          <w:tcPr>
            <w:tcW w:w="6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3512" w:type="dxa"/>
            <w:tcBorders>
              <w:left w:val="single" w:sz="4" w:space="0" w:color="000000"/>
              <w:right w:val="single" w:sz="4" w:space="0" w:color="000000"/>
            </w:tcBorders>
          </w:tcPr>
          <w:p>
            <w:pPr>
              <w:pStyle w:val="Normal"/>
              <w:widowControl w:val="false"/>
              <w:spacing w:lineRule="auto" w:line="240" w:before="0" w:after="0"/>
              <w:contextualSpacing/>
              <w:rPr>
                <w:rFonts w:ascii="Times New Roman" w:hAnsi="Times New Roman"/>
                <w:i/>
                <w:i/>
                <w:sz w:val="20"/>
                <w:szCs w:val="20"/>
                <w:lang w:val="en-US" w:eastAsia="en-US"/>
              </w:rPr>
            </w:pPr>
            <w:r>
              <w:rPr>
                <w:rFonts w:ascii="Times New Roman" w:hAnsi="Times New Roman"/>
                <w:i/>
                <w:sz w:val="20"/>
                <w:szCs w:val="20"/>
              </w:rPr>
              <w:t>количество</w:t>
            </w:r>
          </w:p>
        </w:tc>
        <w:tc>
          <w:tcPr>
            <w:tcW w:w="1102"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lang w:eastAsia="en-US"/>
              </w:rPr>
            </w:pPr>
            <w:r>
              <w:rPr>
                <w:rFonts w:ascii="Times New Roman" w:hAnsi="Times New Roman"/>
                <w:sz w:val="20"/>
                <w:szCs w:val="20"/>
              </w:rPr>
              <w:t>39375</w:t>
            </w:r>
          </w:p>
        </w:tc>
        <w:tc>
          <w:tcPr>
            <w:tcW w:w="1103" w:type="dxa"/>
            <w:tcBorders>
              <w:left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39404</w:t>
            </w:r>
          </w:p>
        </w:tc>
        <w:tc>
          <w:tcPr>
            <w:tcW w:w="1104" w:type="dxa"/>
            <w:tcBorders>
              <w:left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38227</w:t>
            </w:r>
          </w:p>
        </w:tc>
        <w:tc>
          <w:tcPr>
            <w:tcW w:w="1102"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38227</w:t>
            </w:r>
          </w:p>
        </w:tc>
        <w:tc>
          <w:tcPr>
            <w:tcW w:w="1103"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38095</w:t>
            </w:r>
          </w:p>
        </w:tc>
      </w:tr>
      <w:tr>
        <w:trPr/>
        <w:tc>
          <w:tcPr>
            <w:tcW w:w="6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351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i/>
                <w:i/>
                <w:sz w:val="20"/>
                <w:szCs w:val="20"/>
                <w:lang w:val="en-US" w:eastAsia="en-US"/>
              </w:rPr>
            </w:pPr>
            <w:r>
              <w:rPr>
                <w:rFonts w:ascii="Times New Roman" w:hAnsi="Times New Roman"/>
                <w:i/>
                <w:sz w:val="20"/>
                <w:szCs w:val="20"/>
              </w:rPr>
              <w:t>площадь (тыс. га)</w:t>
            </w:r>
          </w:p>
        </w:tc>
        <w:tc>
          <w:tcPr>
            <w:tcW w:w="110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lang w:eastAsia="en-US"/>
              </w:rPr>
            </w:pPr>
            <w:r>
              <w:rPr>
                <w:rFonts w:ascii="Times New Roman" w:hAnsi="Times New Roman"/>
                <w:sz w:val="20"/>
                <w:szCs w:val="20"/>
              </w:rPr>
              <w:t>7,2</w:t>
            </w:r>
          </w:p>
        </w:tc>
        <w:tc>
          <w:tcPr>
            <w:tcW w:w="1103"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7,2</w:t>
            </w:r>
          </w:p>
        </w:tc>
        <w:tc>
          <w:tcPr>
            <w:tcW w:w="1104"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7,1</w:t>
            </w:r>
          </w:p>
        </w:tc>
        <w:tc>
          <w:tcPr>
            <w:tcW w:w="110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7,1</w:t>
            </w:r>
          </w:p>
        </w:tc>
        <w:tc>
          <w:tcPr>
            <w:tcW w:w="1103"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7,1</w:t>
            </w:r>
          </w:p>
        </w:tc>
      </w:tr>
      <w:tr>
        <w:trPr/>
        <w:tc>
          <w:tcPr>
            <w:tcW w:w="66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0"/>
                <w:szCs w:val="20"/>
                <w:lang w:val="en-US" w:eastAsia="en-US"/>
              </w:rPr>
            </w:pPr>
            <w:r>
              <w:rPr>
                <w:rFonts w:ascii="Times New Roman" w:hAnsi="Times New Roman"/>
                <w:sz w:val="20"/>
                <w:szCs w:val="20"/>
              </w:rPr>
              <w:t>5</w:t>
            </w:r>
          </w:p>
        </w:tc>
        <w:tc>
          <w:tcPr>
            <w:tcW w:w="351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rPr>
                <w:rFonts w:ascii="Times New Roman" w:hAnsi="Times New Roman"/>
                <w:sz w:val="20"/>
                <w:szCs w:val="20"/>
                <w:lang w:val="en-US" w:eastAsia="en-US"/>
              </w:rPr>
            </w:pPr>
            <w:r>
              <w:rPr>
                <w:rFonts w:ascii="Times New Roman" w:hAnsi="Times New Roman"/>
                <w:sz w:val="20"/>
                <w:szCs w:val="20"/>
              </w:rPr>
              <w:t xml:space="preserve">Индивидуальное жилищное </w:t>
              <w:br/>
              <w:t>строительство</w:t>
            </w:r>
          </w:p>
        </w:tc>
        <w:tc>
          <w:tcPr>
            <w:tcW w:w="110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sz w:val="20"/>
                <w:szCs w:val="20"/>
              </w:rPr>
            </w:pPr>
            <w:r>
              <w:rPr>
                <w:rFonts w:ascii="Times New Roman" w:hAnsi="Times New Roman"/>
                <w:sz w:val="20"/>
                <w:szCs w:val="20"/>
              </w:rPr>
            </w:r>
          </w:p>
        </w:tc>
        <w:tc>
          <w:tcPr>
            <w:tcW w:w="1103"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sz w:val="20"/>
                <w:szCs w:val="20"/>
              </w:rPr>
            </w:pPr>
            <w:r>
              <w:rPr>
                <w:rFonts w:ascii="Times New Roman" w:hAnsi="Times New Roman"/>
                <w:sz w:val="20"/>
                <w:szCs w:val="20"/>
              </w:rPr>
            </w:r>
          </w:p>
        </w:tc>
        <w:tc>
          <w:tcPr>
            <w:tcW w:w="1104"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c>
          <w:tcPr>
            <w:tcW w:w="110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c>
          <w:tcPr>
            <w:tcW w:w="1103"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r>
      <w:tr>
        <w:trPr/>
        <w:tc>
          <w:tcPr>
            <w:tcW w:w="6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3512" w:type="dxa"/>
            <w:tcBorders>
              <w:left w:val="single" w:sz="4" w:space="0" w:color="000000"/>
              <w:right w:val="single" w:sz="4" w:space="0" w:color="000000"/>
            </w:tcBorders>
          </w:tcPr>
          <w:p>
            <w:pPr>
              <w:pStyle w:val="Normal"/>
              <w:widowControl w:val="false"/>
              <w:spacing w:lineRule="auto" w:line="240" w:before="0" w:after="0"/>
              <w:contextualSpacing/>
              <w:rPr>
                <w:rFonts w:ascii="Times New Roman" w:hAnsi="Times New Roman"/>
                <w:i/>
                <w:i/>
                <w:sz w:val="20"/>
                <w:szCs w:val="20"/>
                <w:lang w:val="en-US" w:eastAsia="en-US"/>
              </w:rPr>
            </w:pPr>
            <w:r>
              <w:rPr>
                <w:rFonts w:ascii="Times New Roman" w:hAnsi="Times New Roman"/>
                <w:i/>
                <w:sz w:val="20"/>
                <w:szCs w:val="20"/>
              </w:rPr>
              <w:t>количество</w:t>
            </w:r>
          </w:p>
        </w:tc>
        <w:tc>
          <w:tcPr>
            <w:tcW w:w="1102"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lang w:eastAsia="en-US"/>
              </w:rPr>
            </w:pPr>
            <w:r>
              <w:rPr>
                <w:rFonts w:ascii="Times New Roman" w:hAnsi="Times New Roman"/>
                <w:sz w:val="20"/>
                <w:szCs w:val="20"/>
              </w:rPr>
              <w:t>100379</w:t>
            </w:r>
          </w:p>
        </w:tc>
        <w:tc>
          <w:tcPr>
            <w:tcW w:w="1103" w:type="dxa"/>
            <w:tcBorders>
              <w:left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101563</w:t>
            </w:r>
          </w:p>
        </w:tc>
        <w:tc>
          <w:tcPr>
            <w:tcW w:w="1104" w:type="dxa"/>
            <w:tcBorders>
              <w:left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106066</w:t>
            </w:r>
          </w:p>
        </w:tc>
        <w:tc>
          <w:tcPr>
            <w:tcW w:w="1102"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107677</w:t>
            </w:r>
          </w:p>
        </w:tc>
        <w:tc>
          <w:tcPr>
            <w:tcW w:w="1103"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108865</w:t>
            </w:r>
          </w:p>
        </w:tc>
      </w:tr>
      <w:tr>
        <w:trPr/>
        <w:tc>
          <w:tcPr>
            <w:tcW w:w="6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351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i/>
                <w:i/>
                <w:sz w:val="20"/>
                <w:szCs w:val="20"/>
                <w:lang w:val="en-US" w:eastAsia="en-US"/>
              </w:rPr>
            </w:pPr>
            <w:r>
              <w:rPr>
                <w:rFonts w:ascii="Times New Roman" w:hAnsi="Times New Roman"/>
                <w:i/>
                <w:sz w:val="20"/>
                <w:szCs w:val="20"/>
              </w:rPr>
              <w:t>площадь (тыс. га)</w:t>
            </w:r>
          </w:p>
        </w:tc>
        <w:tc>
          <w:tcPr>
            <w:tcW w:w="110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lang w:eastAsia="en-US"/>
              </w:rPr>
            </w:pPr>
            <w:r>
              <w:rPr>
                <w:rFonts w:ascii="Times New Roman" w:hAnsi="Times New Roman"/>
                <w:sz w:val="20"/>
                <w:szCs w:val="20"/>
              </w:rPr>
              <w:t>15,0</w:t>
            </w:r>
          </w:p>
        </w:tc>
        <w:tc>
          <w:tcPr>
            <w:tcW w:w="1103"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15,1</w:t>
            </w:r>
          </w:p>
        </w:tc>
        <w:tc>
          <w:tcPr>
            <w:tcW w:w="1104"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15,9</w:t>
            </w:r>
          </w:p>
        </w:tc>
        <w:tc>
          <w:tcPr>
            <w:tcW w:w="110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17,2</w:t>
            </w:r>
          </w:p>
        </w:tc>
        <w:tc>
          <w:tcPr>
            <w:tcW w:w="1103"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17,6</w:t>
            </w:r>
          </w:p>
        </w:tc>
      </w:tr>
      <w:tr>
        <w:trPr/>
        <w:tc>
          <w:tcPr>
            <w:tcW w:w="66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sz w:val="20"/>
                <w:szCs w:val="20"/>
                <w:lang w:val="en-US" w:eastAsia="en-US"/>
              </w:rPr>
            </w:pPr>
            <w:r>
              <w:rPr>
                <w:rFonts w:ascii="Times New Roman" w:hAnsi="Times New Roman"/>
                <w:sz w:val="20"/>
                <w:szCs w:val="20"/>
              </w:rPr>
              <w:t>6</w:t>
            </w:r>
          </w:p>
        </w:tc>
        <w:tc>
          <w:tcPr>
            <w:tcW w:w="351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rPr>
                <w:rFonts w:ascii="Times New Roman" w:hAnsi="Times New Roman"/>
                <w:sz w:val="20"/>
                <w:szCs w:val="20"/>
                <w:lang w:val="en-US" w:eastAsia="en-US"/>
              </w:rPr>
            </w:pPr>
            <w:r>
              <w:rPr>
                <w:rFonts w:ascii="Times New Roman" w:hAnsi="Times New Roman"/>
                <w:sz w:val="20"/>
                <w:szCs w:val="20"/>
              </w:rPr>
              <w:t>Животноводство</w:t>
            </w:r>
          </w:p>
        </w:tc>
        <w:tc>
          <w:tcPr>
            <w:tcW w:w="110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rPr>
                <w:rFonts w:ascii="Times New Roman" w:hAnsi="Times New Roman"/>
                <w:sz w:val="20"/>
                <w:szCs w:val="20"/>
              </w:rPr>
            </w:pPr>
            <w:r>
              <w:rPr>
                <w:rFonts w:ascii="Times New Roman" w:hAnsi="Times New Roman"/>
                <w:sz w:val="20"/>
                <w:szCs w:val="20"/>
              </w:rPr>
            </w:r>
          </w:p>
        </w:tc>
        <w:tc>
          <w:tcPr>
            <w:tcW w:w="1103"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rPr>
                <w:rFonts w:ascii="Times New Roman" w:hAnsi="Times New Roman"/>
                <w:sz w:val="20"/>
                <w:szCs w:val="20"/>
              </w:rPr>
            </w:pPr>
            <w:r>
              <w:rPr>
                <w:rFonts w:ascii="Times New Roman" w:hAnsi="Times New Roman"/>
                <w:sz w:val="20"/>
                <w:szCs w:val="20"/>
              </w:rPr>
            </w:r>
          </w:p>
        </w:tc>
        <w:tc>
          <w:tcPr>
            <w:tcW w:w="1104"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c>
          <w:tcPr>
            <w:tcW w:w="1102"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c>
          <w:tcPr>
            <w:tcW w:w="1103" w:type="dxa"/>
            <w:tcBorders>
              <w:top w:val="single" w:sz="4" w:space="0" w:color="000000"/>
              <w:left w:val="single" w:sz="4" w:space="0" w:color="000000"/>
              <w:right w:val="single" w:sz="4" w:space="0" w:color="000000"/>
            </w:tcBorders>
          </w:tcPr>
          <w:p>
            <w:pPr>
              <w:pStyle w:val="Normal"/>
              <w:widowControl w:val="false"/>
              <w:spacing w:lineRule="auto" w:line="240" w:before="0" w:after="200"/>
              <w:contextualSpacing/>
              <w:jc w:val="both"/>
              <w:rPr>
                <w:rFonts w:ascii="Times New Roman" w:hAnsi="Times New Roman"/>
                <w:sz w:val="20"/>
                <w:szCs w:val="20"/>
              </w:rPr>
            </w:pPr>
            <w:r>
              <w:rPr>
                <w:rFonts w:ascii="Times New Roman" w:hAnsi="Times New Roman"/>
                <w:sz w:val="20"/>
                <w:szCs w:val="20"/>
              </w:rPr>
            </w:r>
          </w:p>
        </w:tc>
      </w:tr>
      <w:tr>
        <w:trPr/>
        <w:tc>
          <w:tcPr>
            <w:tcW w:w="6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3512" w:type="dxa"/>
            <w:tcBorders>
              <w:left w:val="single" w:sz="4" w:space="0" w:color="000000"/>
              <w:right w:val="single" w:sz="4" w:space="0" w:color="000000"/>
            </w:tcBorders>
          </w:tcPr>
          <w:p>
            <w:pPr>
              <w:pStyle w:val="Normal"/>
              <w:widowControl w:val="false"/>
              <w:spacing w:lineRule="auto" w:line="240" w:before="0" w:after="0"/>
              <w:contextualSpacing/>
              <w:rPr>
                <w:rFonts w:ascii="Times New Roman" w:hAnsi="Times New Roman"/>
                <w:i/>
                <w:i/>
                <w:sz w:val="20"/>
                <w:szCs w:val="20"/>
                <w:lang w:val="en-US" w:eastAsia="en-US"/>
              </w:rPr>
            </w:pPr>
            <w:r>
              <w:rPr>
                <w:rFonts w:ascii="Times New Roman" w:hAnsi="Times New Roman"/>
                <w:i/>
                <w:sz w:val="20"/>
                <w:szCs w:val="20"/>
              </w:rPr>
              <w:t>количество</w:t>
            </w:r>
          </w:p>
        </w:tc>
        <w:tc>
          <w:tcPr>
            <w:tcW w:w="1102"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lang w:eastAsia="en-US"/>
              </w:rPr>
            </w:pPr>
            <w:r>
              <w:rPr>
                <w:rFonts w:ascii="Times New Roman" w:hAnsi="Times New Roman"/>
                <w:sz w:val="20"/>
                <w:szCs w:val="20"/>
              </w:rPr>
              <w:t>391</w:t>
            </w:r>
          </w:p>
        </w:tc>
        <w:tc>
          <w:tcPr>
            <w:tcW w:w="1103" w:type="dxa"/>
            <w:tcBorders>
              <w:left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394</w:t>
            </w:r>
          </w:p>
        </w:tc>
        <w:tc>
          <w:tcPr>
            <w:tcW w:w="1104" w:type="dxa"/>
            <w:tcBorders>
              <w:left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413</w:t>
            </w:r>
          </w:p>
        </w:tc>
        <w:tc>
          <w:tcPr>
            <w:tcW w:w="1102"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413</w:t>
            </w:r>
          </w:p>
        </w:tc>
        <w:tc>
          <w:tcPr>
            <w:tcW w:w="1103" w:type="dxa"/>
            <w:tcBorders>
              <w:left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419</w:t>
            </w:r>
          </w:p>
        </w:tc>
      </w:tr>
      <w:tr>
        <w:trPr/>
        <w:tc>
          <w:tcPr>
            <w:tcW w:w="6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0"/>
                <w:szCs w:val="20"/>
                <w:lang w:val="en-US" w:eastAsia="en-US"/>
              </w:rPr>
            </w:pPr>
            <w:r>
              <w:rPr>
                <w:rFonts w:ascii="Times New Roman" w:hAnsi="Times New Roman"/>
                <w:sz w:val="20"/>
                <w:szCs w:val="20"/>
                <w:lang w:val="en-US" w:eastAsia="en-US"/>
              </w:rPr>
            </w:r>
          </w:p>
        </w:tc>
        <w:tc>
          <w:tcPr>
            <w:tcW w:w="351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i/>
                <w:i/>
                <w:sz w:val="20"/>
                <w:szCs w:val="20"/>
                <w:lang w:val="en-US" w:eastAsia="en-US"/>
              </w:rPr>
            </w:pPr>
            <w:r>
              <w:rPr>
                <w:rFonts w:ascii="Times New Roman" w:hAnsi="Times New Roman"/>
                <w:i/>
                <w:sz w:val="20"/>
                <w:szCs w:val="20"/>
              </w:rPr>
              <w:t>площадь (тыс. га)</w:t>
            </w:r>
          </w:p>
        </w:tc>
        <w:tc>
          <w:tcPr>
            <w:tcW w:w="110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lang w:eastAsia="en-US"/>
              </w:rPr>
            </w:pPr>
            <w:r>
              <w:rPr>
                <w:rFonts w:ascii="Times New Roman" w:hAnsi="Times New Roman"/>
                <w:sz w:val="20"/>
                <w:szCs w:val="20"/>
              </w:rPr>
              <w:t>4,7</w:t>
            </w:r>
          </w:p>
        </w:tc>
        <w:tc>
          <w:tcPr>
            <w:tcW w:w="1103"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5,1</w:t>
            </w:r>
          </w:p>
        </w:tc>
        <w:tc>
          <w:tcPr>
            <w:tcW w:w="1104"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rPr>
                <w:rFonts w:ascii="Times New Roman" w:hAnsi="Times New Roman"/>
                <w:sz w:val="20"/>
                <w:szCs w:val="20"/>
              </w:rPr>
            </w:pPr>
            <w:r>
              <w:rPr>
                <w:rFonts w:ascii="Times New Roman" w:hAnsi="Times New Roman"/>
                <w:sz w:val="20"/>
                <w:szCs w:val="20"/>
              </w:rPr>
              <w:t>5,5</w:t>
            </w:r>
          </w:p>
        </w:tc>
        <w:tc>
          <w:tcPr>
            <w:tcW w:w="1102"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5,5</w:t>
            </w:r>
          </w:p>
        </w:tc>
        <w:tc>
          <w:tcPr>
            <w:tcW w:w="1103"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0"/>
                <w:szCs w:val="20"/>
              </w:rPr>
            </w:pPr>
            <w:r>
              <w:rPr>
                <w:rFonts w:ascii="Times New Roman" w:hAnsi="Times New Roman"/>
                <w:sz w:val="20"/>
                <w:szCs w:val="20"/>
              </w:rPr>
              <w:t>5,6</w:t>
            </w:r>
          </w:p>
        </w:tc>
      </w:tr>
    </w:tbl>
    <w:p>
      <w:pPr>
        <w:pStyle w:val="NormalWeb"/>
        <w:spacing w:lineRule="auto" w:line="240" w:before="0" w:after="0"/>
        <w:ind w:firstLine="851"/>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Количество граждан, обеспеченных земельными участками под индивидуальное жилищное строительство, к началу 2017 года составляет 108865, а совокупная площадь, предоставленных для этой цели земель, достигла 17,6 тыс. га. Возможность иметь на одном участке жилой дом, сад и огород объясняет все возрастающую потребность населения в таких участках. </w:t>
      </w:r>
    </w:p>
    <w:p>
      <w:pPr>
        <w:pStyle w:val="NormalWeb"/>
        <w:spacing w:lineRule="auto" w:line="240" w:before="0" w:after="200"/>
        <w:ind w:firstLine="709"/>
        <w:contextualSpacing/>
        <w:jc w:val="both"/>
        <w:rPr>
          <w:rFonts w:ascii="Times New Roman" w:hAnsi="Times New Roman"/>
          <w:sz w:val="28"/>
          <w:szCs w:val="28"/>
          <w:lang w:val="ru-RU"/>
        </w:rPr>
      </w:pPr>
      <w:r>
        <w:rPr>
          <w:rFonts w:ascii="Times New Roman" w:hAnsi="Times New Roman"/>
          <w:sz w:val="28"/>
          <w:szCs w:val="28"/>
          <w:lang w:val="ru-RU"/>
        </w:rPr>
        <w:t>Наибольшее количество граждан, использующие свои земельные участки под индивидуальное жилищное строительство, расположены в пригородных территориях городов и поселков.</w:t>
      </w:r>
    </w:p>
    <w:p>
      <w:pPr>
        <w:pStyle w:val="NormalWeb"/>
        <w:spacing w:lineRule="auto" w:line="240" w:before="0" w:after="200"/>
        <w:contextualSpacing/>
        <w:jc w:val="both"/>
        <w:rPr>
          <w:rFonts w:ascii="Times New Roman" w:hAnsi="Times New Roman"/>
          <w:sz w:val="28"/>
          <w:szCs w:val="28"/>
          <w:lang w:val="ru-RU"/>
        </w:rPr>
      </w:pPr>
      <w:r>
        <w:rPr/>
        <w:drawing>
          <wp:inline distT="0" distB="0" distL="0" distR="0">
            <wp:extent cx="5882640" cy="1889760"/>
            <wp:effectExtent l="0" t="0" r="0" b="0"/>
            <wp:docPr id="30" name="Объект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Normal"/>
        <w:spacing w:lineRule="auto" w:line="240" w:before="0" w:after="200"/>
        <w:contextualSpacing/>
        <w:jc w:val="center"/>
        <w:rPr>
          <w:rFonts w:ascii="Times New Roman" w:hAnsi="Times New Roman" w:cs="Times New Roman"/>
          <w:b/>
          <w:b/>
          <w:bCs/>
          <w:sz w:val="24"/>
          <w:szCs w:val="24"/>
        </w:rPr>
      </w:pPr>
      <w:r>
        <w:rPr>
          <w:rFonts w:cs="Times New Roman" w:ascii="Times New Roman" w:hAnsi="Times New Roman"/>
          <w:b/>
          <w:bCs/>
          <w:sz w:val="24"/>
          <w:szCs w:val="24"/>
        </w:rPr>
        <w:t xml:space="preserve">Рис. 18. Динамика изменения площадей земель, предоставленных гражданам и их </w:t>
        <w:br/>
        <w:t>объединениям за 2012-2016 годы</w:t>
      </w:r>
    </w:p>
    <w:p>
      <w:pPr>
        <w:pStyle w:val="NormalWeb"/>
        <w:spacing w:lineRule="auto" w:line="240" w:before="0" w:after="200"/>
        <w:ind w:firstLine="709"/>
        <w:contextualSpacing/>
        <w:jc w:val="both"/>
        <w:rPr>
          <w:rFonts w:ascii="Times New Roman" w:hAnsi="Times New Roman" w:cs="Times New Roman"/>
          <w:sz w:val="28"/>
          <w:szCs w:val="28"/>
          <w:lang w:val="ru-RU"/>
        </w:rPr>
      </w:pPr>
      <w:r>
        <w:rPr>
          <w:rFonts w:cs="Times New Roman" w:ascii="Times New Roman" w:hAnsi="Times New Roman"/>
          <w:sz w:val="28"/>
          <w:szCs w:val="28"/>
          <w:lang w:val="ru-RU"/>
        </w:rPr>
        <w:t>Сведения о правах на земельные участки, предоставленные гражданам, приведены в приложении 4.</w:t>
      </w:r>
    </w:p>
    <w:p>
      <w:pPr>
        <w:pStyle w:val="Normal"/>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r>
    </w:p>
    <w:p>
      <w:pPr>
        <w:pStyle w:val="NormalWeb"/>
        <w:spacing w:lineRule="auto" w:line="240"/>
        <w:jc w:val="center"/>
        <w:rPr>
          <w:rFonts w:ascii="Times New Roman" w:hAnsi="Times New Roman" w:cs="Times New Roman"/>
          <w:b/>
          <w:b/>
          <w:sz w:val="32"/>
          <w:szCs w:val="32"/>
          <w:lang w:val="ru-RU"/>
        </w:rPr>
      </w:pPr>
      <w:r>
        <w:rPr>
          <w:rFonts w:cs="Times New Roman" w:ascii="Times New Roman" w:hAnsi="Times New Roman"/>
          <w:b/>
          <w:sz w:val="32"/>
          <w:szCs w:val="32"/>
          <w:lang w:val="ru-RU"/>
        </w:rPr>
        <w:t xml:space="preserve">2. </w:t>
      </w:r>
      <w:bookmarkStart w:id="521" w:name="_Toc256850204"/>
      <w:r>
        <w:rPr>
          <w:rFonts w:cs="Times New Roman" w:ascii="Times New Roman" w:hAnsi="Times New Roman"/>
          <w:b/>
          <w:sz w:val="32"/>
          <w:szCs w:val="32"/>
          <w:lang w:val="ru-RU"/>
        </w:rPr>
        <w:t>ПРАВОВОЕ ОБЕСПЕЧЕНИЕ РАЗВИТИЯ ЗЕМЕЛЬНЫХ ОТНОШЕНИЙ</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Земельное законодательство регулирует отношения по использованию и охране земель в Российской Федерации как основы жизни и деятельности народов, проживающих на соответствующей территории (земельные отношения).</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Участниками земельных отношений являются граждане, юридические лица, Российская Федерация, субъекты Российской Федерации, муниципальные образования.</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развитие норм федерального законодательства, регламентирующего земельные отношения на территории Приморского края, в 2016 году были приняты следующие нормативные правовые акты.</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spacing w:val="2"/>
          <w:sz w:val="28"/>
          <w:szCs w:val="28"/>
        </w:rPr>
      </w:pPr>
      <w:r>
        <w:rPr>
          <w:rFonts w:eastAsia="Times New Roman" w:cs="Times New Roman" w:ascii="Times New Roman" w:hAnsi="Times New Roman"/>
          <w:bCs/>
          <w:sz w:val="28"/>
          <w:szCs w:val="28"/>
        </w:rPr>
        <w:t>1. Законом Приморского края от 25.07.2016 № 871-КЗ статья 10 </w:t>
      </w:r>
      <w:hyperlink r:id="rId82">
        <w:r>
          <w:rPr>
            <w:rFonts w:eastAsia="Times New Roman" w:cs="Times New Roman" w:ascii="Times New Roman" w:hAnsi="Times New Roman"/>
            <w:bCs/>
            <w:sz w:val="28"/>
            <w:szCs w:val="28"/>
          </w:rPr>
          <w:t>Закона Приморского края от 29.12.2003 № 90-КЗ «О регулировании земельных отношений в Приморском крае»</w:t>
        </w:r>
      </w:hyperlink>
      <w:r>
        <w:rPr>
          <w:rFonts w:eastAsia="Times New Roman" w:cs="Times New Roman" w:ascii="Times New Roman" w:hAnsi="Times New Roman"/>
          <w:bCs/>
          <w:sz w:val="28"/>
          <w:szCs w:val="28"/>
        </w:rPr>
        <w:t xml:space="preserve"> (далее – Закон № 90-КЗ) дополнена п. 1(1), который устанавливает ограничения в предоставлении земельных участков в собственность граждан из земель, находящихся в го</w:t>
      </w:r>
      <w:r>
        <w:rPr>
          <w:rFonts w:eastAsia="Times New Roman" w:cs="Times New Roman" w:ascii="Times New Roman" w:hAnsi="Times New Roman"/>
          <w:spacing w:val="2"/>
          <w:sz w:val="28"/>
          <w:szCs w:val="28"/>
        </w:rPr>
        <w:t>сударственной или муниципальной собственности бесплатно.</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xml:space="preserve">Так, согласно п. 1(1) Закона № 90-КЗ, в предоставлении земельного участка, находящегося в государственной или муниципальной собственности, в собственность бесплатно должно быть отказано, если обратившемуся с заявлением гражданину ранее был предоставлен земельный участок из земель, находящихся в государственной или муниципальной собственности, в собственность бесплатно в соответствии с ч. 7 </w:t>
        <w:br/>
        <w:t xml:space="preserve">ст. 39.5 </w:t>
      </w:r>
      <w:hyperlink r:id="rId83">
        <w:r>
          <w:rPr>
            <w:rFonts w:eastAsia="Times New Roman" w:cs="Times New Roman" w:ascii="Times New Roman" w:hAnsi="Times New Roman"/>
            <w:bCs/>
            <w:sz w:val="28"/>
            <w:szCs w:val="28"/>
          </w:rPr>
          <w:t>Земельного кодекса Российской Федерации</w:t>
        </w:r>
      </w:hyperlink>
      <w:r>
        <w:rPr>
          <w:rFonts w:eastAsia="Times New Roman" w:cs="Times New Roman" w:ascii="Times New Roman" w:hAnsi="Times New Roman"/>
          <w:bCs/>
          <w:sz w:val="28"/>
          <w:szCs w:val="28"/>
        </w:rPr>
        <w:t xml:space="preserve"> (далее – ЗК РФ), Законом № 90-КЗ, </w:t>
      </w:r>
      <w:hyperlink r:id="rId84">
        <w:r>
          <w:rPr>
            <w:rFonts w:eastAsia="Times New Roman" w:cs="Times New Roman" w:ascii="Times New Roman" w:hAnsi="Times New Roman"/>
            <w:bCs/>
            <w:sz w:val="28"/>
            <w:szCs w:val="28"/>
          </w:rPr>
          <w:t>Законом Приморского края от 27.09.2013 № 250-КЗ «О бесплатном предоставлении земельных участков для индивидуального жилищного строительства на территории Приморского края»</w:t>
        </w:r>
      </w:hyperlink>
      <w:r>
        <w:rPr>
          <w:rFonts w:eastAsia="Times New Roman" w:cs="Times New Roman" w:ascii="Times New Roman" w:hAnsi="Times New Roman"/>
          <w:bCs/>
          <w:sz w:val="28"/>
          <w:szCs w:val="28"/>
        </w:rPr>
        <w:t xml:space="preserve"> (далее _ Закон № 250-КЗ), </w:t>
      </w:r>
      <w:hyperlink r:id="rId85">
        <w:r>
          <w:rPr>
            <w:rFonts w:eastAsia="Times New Roman" w:cs="Times New Roman" w:ascii="Times New Roman" w:hAnsi="Times New Roman"/>
            <w:bCs/>
            <w:sz w:val="28"/>
            <w:szCs w:val="28"/>
          </w:rPr>
          <w:t>Законом Приморского края от 08.11.2011 № 837-КЗ «О бесплатном предоставлении земельных участков гражданам, имеющим трех и более детей, в Приморском крае» (далее – Закон № 837-КЗ)</w:t>
        </w:r>
      </w:hyperlink>
      <w:r>
        <w:rPr>
          <w:rFonts w:eastAsia="Times New Roman" w:cs="Times New Roman" w:ascii="Times New Roman" w:hAnsi="Times New Roman"/>
          <w:bCs/>
          <w:sz w:val="28"/>
          <w:szCs w:val="28"/>
        </w:rPr>
        <w:t>.</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xml:space="preserve">2. Верховный Суд Российской Федерации в своем </w:t>
      </w:r>
      <w:hyperlink r:id="rId86">
        <w:r>
          <w:rPr>
            <w:rFonts w:eastAsia="Times New Roman" w:cs="Times New Roman" w:ascii="Times New Roman" w:hAnsi="Times New Roman"/>
            <w:bCs/>
            <w:sz w:val="28"/>
            <w:szCs w:val="28"/>
          </w:rPr>
          <w:t>решении от 08.10.2015 № АКПИ15-1048</w:t>
        </w:r>
      </w:hyperlink>
      <w:r>
        <w:rPr>
          <w:rFonts w:eastAsia="Times New Roman" w:cs="Times New Roman" w:ascii="Times New Roman" w:hAnsi="Times New Roman"/>
          <w:bCs/>
          <w:sz w:val="28"/>
          <w:szCs w:val="28"/>
        </w:rPr>
        <w:t xml:space="preserve"> признал не действующим п. 2 приказа Минэкономразвития России от 12.01.2015 № 1 «</w:t>
      </w:r>
      <w:r>
        <w:fldChar w:fldCharType="begin"/>
      </w:r>
      <w:r>
        <w:rPr>
          <w:sz w:val="28"/>
          <w:szCs w:val="28"/>
          <w:bCs/>
          <w:rFonts w:eastAsia="Times New Roman" w:cs="Times New Roman" w:ascii="Times New Roman" w:hAnsi="Times New Roman"/>
        </w:rPr>
        <w:instrText xml:space="preserve"> HYPERLINK "http://base.garant.ru/70878720/" \l "block_2"</w:instrText>
      </w:r>
      <w:r>
        <w:rPr>
          <w:sz w:val="28"/>
          <w:szCs w:val="28"/>
          <w:bCs/>
          <w:rFonts w:eastAsia="Times New Roman" w:cs="Times New Roman" w:ascii="Times New Roman" w:hAnsi="Times New Roman"/>
        </w:rPr>
        <w:fldChar w:fldCharType="separate"/>
      </w:r>
      <w:r>
        <w:rPr>
          <w:rFonts w:eastAsia="Times New Roman" w:cs="Times New Roman" w:ascii="Times New Roman" w:hAnsi="Times New Roman"/>
          <w:bCs/>
          <w:sz w:val="28"/>
          <w:szCs w:val="28"/>
        </w:rPr>
        <w:t>Об утверждении перечня документов, подтверждающих право заявителя на приобретение земельного участка без проведения торгов</w:t>
      </w:r>
      <w:r>
        <w:rPr>
          <w:sz w:val="28"/>
          <w:szCs w:val="28"/>
          <w:bCs/>
          <w:rFonts w:eastAsia="Times New Roman" w:cs="Times New Roman" w:ascii="Times New Roman" w:hAnsi="Times New Roman"/>
        </w:rPr>
        <w:fldChar w:fldCharType="end"/>
      </w:r>
      <w:r>
        <w:rPr>
          <w:rFonts w:eastAsia="Times New Roman" w:cs="Times New Roman" w:ascii="Times New Roman" w:hAnsi="Times New Roman"/>
          <w:bCs/>
          <w:sz w:val="28"/>
          <w:szCs w:val="28"/>
        </w:rPr>
        <w:t>» в части, предусматривающей необходимость прикладывать к заявлению о приобретении прав на земельный участок в случае его приобретения в собственность одним из супругов нотариально заверенное согласие супруга на приобретение в собственность земельного участка.</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Так, ЗК РФ не содержит норм, обязывающих гражданина подтверждать право на приобретение земельного участка без проведения торгов нотариально удостоверенным согласием супруга.</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В силу Семейного кодекса РФ нотариально удостоверенное согласие супруга необходимо для совершения другим супругом сделки по распоряжению недвижимостью и сделки, требующей нотариального удостоверения и (или) регистрации.</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В развитие указанной нормы Законом Приморского края от 03.03.2016 № 792-КЗ из Закона № 837-КЗ исключено положение, согласно которому при подаче заявления одним из супругов к заявлению о бесплатном предоставлении в собственность земельного участка прилагается нотариально заверенное согласие другого супруга на приобретение в собственность земельного участка.</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Законом Приморского края от 25.07.2016 № 871-КЗ дополнен перечень документов, которые необходимо приложить к заявлению о предоставлении земельного участка в собственность бесплатно, установленный ч. 1 ст. 5 Закона № 837-КЗ.</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Так к заявлению дополнительно прилагаются справки органа, осуществляющего государственную регистрацию прав на недвижимое имущество и сделок с ним, о зарегистрированных правах на земельные участки гражданина (граждан) и его (их) детей.</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При этом пунктом 19 части 1 статьи 5 Закона № 837-КЗ установлено, что указанные справки запрашиваются уполномоченным органом местного самоуправления самостоятельно, в том числе посредством системы межведомственного информационного взаимодействия. Гражданин (граждане) вправе представить указанные документы в уполномоченный орган местного самоуправления по собственной инициативе.</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Законом Приморского края от 25.07.2016 № 871-КЗ уточнены сроки, в которые уполномоченный орган местного самоуправления принимает решение о включении либо об отказе во включении гражданина (граждан) в реестр граждан, имеющих право на получение земельного участка в соответствии с ч. 5 ст. 5 Закона № 837-КЗ.</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Дополнены положения частей 8(2), 8(3), 8(4) статьи 5 Закона № 837-КЗ, содержащие подробную информацию о порядке предоставлении земельных участков в собственность бесплатно гражданину (гражданам) и его (их) детям.</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7"/>
          <w:szCs w:val="27"/>
        </w:rPr>
        <w:t>3.</w:t>
      </w:r>
      <w:r>
        <w:rPr>
          <w:rFonts w:eastAsia="Times New Roman" w:cs="Times New Roman" w:ascii="Times New Roman" w:hAnsi="Times New Roman"/>
          <w:b/>
          <w:bCs/>
          <w:sz w:val="27"/>
          <w:szCs w:val="27"/>
        </w:rPr>
        <w:t xml:space="preserve"> </w:t>
      </w:r>
      <w:hyperlink r:id="rId87">
        <w:r>
          <w:rPr>
            <w:rFonts w:eastAsia="Times New Roman" w:cs="Times New Roman" w:ascii="Times New Roman" w:hAnsi="Times New Roman"/>
            <w:bCs/>
            <w:sz w:val="28"/>
            <w:szCs w:val="28"/>
          </w:rPr>
          <w:t xml:space="preserve">Постановлением Администрации Приморского края от 15.08.2016 </w:t>
          <w:br/>
          <w:t>№ 380-па внесены изменения в постановление Администрации Приморского края от 18.03.2015 № 87-па «О Порядке определения размера арендной платы за земельные участки, находящиеся в собственности Приморского края и предоставленные в аренду без торгов».</w:t>
        </w:r>
      </w:hyperlink>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Изменениями установлены правила расчета арендной платы за земельные участки всех категорий земель, находящиеся в собственности Приморского края, передаваемые в аренду гражданам, индивидуальным предпринимателям и юридическим лицам без проведения торгов.</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Размер арендной платы при аренде земельных участков, находящихся в собственности Приморского края и предоставленных без проведения торгов, в расчете на год определяется одним из следующих способов:</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на основании кадастровой стоимости земельных участков;</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в соответствии со ставками арендной платы либо методическими указаниями по ее расчету, утвержденными для земельных участков, находящихся в федеральной собственности.</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Исключен способ определения размера арендной платы при аренде земельных участков, находящихся в собственности Приморского края и предоставленных без проведения торгов на основании рыночной стоимости земельных участков, определяемой в соответствии с законодательством Российской Федерации об оценочной деятельности.</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4. 01.06.2016 вступил в силу Федеральный закон от 01.05.2016 №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(далее – Федеральный закон № 119-ФЗ). Данный закон регулирует отношения, связанные с предоставлением земельных участков, находящихся в государственной или муниципальной собственности и расположенных на территориях Республики Саха (Якутия), Камчатского края, Приморского края, Хабаровского края, Амурской области, Магаданской области, Сахалинской области, Еврейской автономной области, Чукотского автономного округа, гражданам Российской Федерации.</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xml:space="preserve">В развитие положений Федерального закона № 119-ФЗ Постановлением Администрации Приморского края от 27.07.2016 № 348-па «Об определении территорий, в границах которых земельные участки не могут быть предоставлены в безвозмездное пользование в соответствии с Федеральным законом от 1 мая 2016 года №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определены территории Приморского края, в границах которых не могут быть предоставлены в безвозмездное пользование земельные участки в соответствии с ч. 3 ст. 2 Федерального закона № 119-ФЗ. </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В границах населенных пунктов городских округов:</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Арсеньевский городской округ: город Арсеньев;</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Артемовский городской округ: город Артем;</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Владивостокский городской округ: город Владивосток;</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Городской округ Большой Камень: город Большой Камень;</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Дальнегорский городской округ: город Дальнегорск;</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Дальнереченский городской округ: город Дальнереченск;</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Лесозаводский городской округ: город Лесозаводск;</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Находкинский городской округ: город Находка;</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Партизанский городской округ: город Партизанск;</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Городской округ Спасск-Дальний: город Спасск-Дальний;</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Уссурийский городской округ: город Уссурийск;</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В границах ЗАТО город Фокино;</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В границах населенных пунктов, расположенных в границах городских поселений:</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Шкотовский муниципальный район, Смоляниновское городское поселение: поселок городского типа Смоляниново;</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в границах населенных пунктов, расположенных в границах сельских поселений и являющихся административными центрами муниципальных районов:</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Надеждинский муниципальный район, Надеждинское сельское поселение, село Вольно-Надеждинское;</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на расстоянии 10 км от населенных пунктов с численностью населения более 50 тыс. человек: город Арсеньев, город Артем, город Находка, город Уссурийск;</w:t>
      </w:r>
    </w:p>
    <w:p>
      <w:pPr>
        <w:pStyle w:val="Normal"/>
        <w:numPr>
          <w:ilvl w:val="0"/>
          <w:numId w:val="0"/>
        </w:numPr>
        <w:shd w:val="clear" w:color="auto" w:fill="FFFFFF"/>
        <w:spacing w:lineRule="auto" w:line="240" w:before="0" w:after="0"/>
        <w:jc w:val="both"/>
        <w:textAlignment w:val="baseline"/>
        <w:outlineLvl w:val="2"/>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на расстоянии 20 км от населенных пунктов с численностью населения более 300 тыс. человек: город Владивосток.</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5. В соответствии с Градостроительным </w:t>
      </w:r>
      <w:hyperlink r:id="rId88">
        <w:r>
          <w:rPr>
            <w:rFonts w:eastAsia="Times New Roman" w:cs="Times New Roman" w:ascii="Times New Roman" w:hAnsi="Times New Roman"/>
            <w:sz w:val="28"/>
            <w:szCs w:val="28"/>
          </w:rPr>
          <w:t>кодексом</w:t>
        </w:r>
      </w:hyperlink>
      <w:r>
        <w:rPr>
          <w:rFonts w:eastAsia="Times New Roman" w:cs="Times New Roman" w:ascii="Times New Roman" w:hAnsi="Times New Roman"/>
          <w:sz w:val="28"/>
          <w:szCs w:val="28"/>
        </w:rPr>
        <w:t xml:space="preserve"> Российской Федерации, на основании </w:t>
      </w:r>
      <w:hyperlink r:id="rId89">
        <w:r>
          <w:rPr>
            <w:rFonts w:eastAsia="Times New Roman" w:cs="Times New Roman" w:ascii="Times New Roman" w:hAnsi="Times New Roman"/>
            <w:sz w:val="28"/>
            <w:szCs w:val="28"/>
          </w:rPr>
          <w:t>Устава</w:t>
        </w:r>
      </w:hyperlink>
      <w:r>
        <w:rPr>
          <w:rFonts w:eastAsia="Times New Roman" w:cs="Times New Roman" w:ascii="Times New Roman" w:hAnsi="Times New Roman"/>
          <w:sz w:val="28"/>
          <w:szCs w:val="28"/>
        </w:rPr>
        <w:t xml:space="preserve"> Приморского края, в соответствии с законами Приморского края от 29.06.2009 </w:t>
      </w:r>
      <w:hyperlink r:id="rId90">
        <w:r>
          <w:rPr>
            <w:rFonts w:eastAsia="Times New Roman" w:cs="Times New Roman" w:ascii="Times New Roman" w:hAnsi="Times New Roman"/>
            <w:sz w:val="28"/>
            <w:szCs w:val="28"/>
          </w:rPr>
          <w:t>№</w:t>
        </w:r>
      </w:hyperlink>
      <w:r>
        <w:rPr>
          <w:rFonts w:eastAsia="Times New Roman" w:cs="Times New Roman" w:ascii="Times New Roman" w:hAnsi="Times New Roman"/>
          <w:sz w:val="28"/>
          <w:szCs w:val="28"/>
        </w:rPr>
        <w:t xml:space="preserve"> 446-КЗ «О градостроительной деятельности на территории Приморского края» (далее – Закон № 446-КЗ), от 18.11.2014 № 497-КЗ «О перераспределении полномочий между органами местного самоуправления муниципальных образований Приморского края и органами государственной власти Приморского края и внесении изменений в отдельные законодательные акты Приморского края» Администрацией Приморского края утвержден порядок подготовки, утверждения местных нормативов градостроительного проектирования Владивостокского, Артемовского городских округов, Надеждинского, Шкотовского муниципальных районов, поселений Надеждинского, Шкотовского муниципальных районов.</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6. На основании </w:t>
      </w:r>
      <w:hyperlink r:id="rId91">
        <w:r>
          <w:rPr>
            <w:rFonts w:eastAsia="Times New Roman" w:cs="Times New Roman" w:ascii="Times New Roman" w:hAnsi="Times New Roman"/>
            <w:sz w:val="28"/>
            <w:szCs w:val="28"/>
          </w:rPr>
          <w:t>Устава</w:t>
        </w:r>
      </w:hyperlink>
      <w:r>
        <w:rPr>
          <w:rFonts w:eastAsia="Times New Roman" w:cs="Times New Roman" w:ascii="Times New Roman" w:hAnsi="Times New Roman"/>
          <w:sz w:val="28"/>
          <w:szCs w:val="28"/>
        </w:rPr>
        <w:t xml:space="preserve"> Приморского края, в соответствии с Федеральным </w:t>
      </w:r>
      <w:hyperlink r:id="rId92">
        <w:r>
          <w:rPr>
            <w:rFonts w:eastAsia="Times New Roman" w:cs="Times New Roman" w:ascii="Times New Roman" w:hAnsi="Times New Roman"/>
            <w:sz w:val="28"/>
            <w:szCs w:val="28"/>
          </w:rPr>
          <w:t>законом</w:t>
        </w:r>
      </w:hyperlink>
      <w:r>
        <w:rPr>
          <w:rFonts w:eastAsia="Times New Roman" w:cs="Times New Roman" w:ascii="Times New Roman" w:hAnsi="Times New Roman"/>
          <w:sz w:val="28"/>
          <w:szCs w:val="28"/>
        </w:rPr>
        <w:t xml:space="preserve"> от 27.07.2006 № 149-ФЗ «Об информации, информационных технологиях и о защите информации», Законом № 446-КЗ, законом Приморского края от 11.05.2016 № 810-КЗ «О государственных информационных системах Приморского края» Администрация Приморского края постановила создать государственную информационную систему Приморского края «Региональная информационная система обеспечения градостроительной деятельности Приморского края».</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Функции оператора по обработке государственных информационных ресурсов Приморского края государственной информационной системы Приморского края возложены на департамент градостроительства Приморского края.</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Функции оператора по обеспечению функционирования государственной информационной системы Приморского края возложены на краевое государственное бюджетное учреждение «Информационно-технологический центр Приморского края».</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7. В соответствии с Градостроительным </w:t>
      </w:r>
      <w:hyperlink r:id="rId93">
        <w:r>
          <w:rPr>
            <w:rFonts w:eastAsia="Times New Roman" w:cs="Times New Roman" w:ascii="Times New Roman" w:hAnsi="Times New Roman"/>
            <w:sz w:val="28"/>
            <w:szCs w:val="28"/>
          </w:rPr>
          <w:t>кодексом</w:t>
        </w:r>
      </w:hyperlink>
      <w:r>
        <w:rPr>
          <w:rFonts w:eastAsia="Times New Roman" w:cs="Times New Roman" w:ascii="Times New Roman" w:hAnsi="Times New Roman"/>
          <w:sz w:val="28"/>
          <w:szCs w:val="28"/>
        </w:rPr>
        <w:t xml:space="preserve"> Российской Федерации, законами Приморского края от 29.06.2009 </w:t>
      </w:r>
      <w:hyperlink r:id="rId94">
        <w:r>
          <w:rPr>
            <w:rFonts w:eastAsia="Times New Roman" w:cs="Times New Roman" w:ascii="Times New Roman" w:hAnsi="Times New Roman"/>
            <w:sz w:val="28"/>
            <w:szCs w:val="28"/>
          </w:rPr>
          <w:t>№</w:t>
        </w:r>
      </w:hyperlink>
      <w:r>
        <w:rPr>
          <w:rFonts w:eastAsia="Times New Roman" w:cs="Times New Roman" w:ascii="Times New Roman" w:hAnsi="Times New Roman"/>
          <w:sz w:val="28"/>
          <w:szCs w:val="28"/>
        </w:rPr>
        <w:t xml:space="preserve"> 446-КЗ «О градостроительной деятельности на территории Приморского края», от 30.04.2015 № 611-КЗ «О порядке подготовки, утверждения и изменения региональных нормативов градостроительного проектирования в Приморском крае и о порядке систематизации нормативов градостроительного проектирования по видам объектов краевого и местного значения» Постановлением Администрации Приморского края от 21.12.2016 № 593-па утверждены региональные нормативы градостроительного проектирования в Приморском крае.</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Муниципальными образованиями, расположенными на территории Приморского края, во исполнение федерального и краевого законодательства в 2016 году приняты следующие правовые акты:</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1. </w:t>
      </w:r>
      <w:hyperlink r:id="rId95">
        <w:r>
          <w:rPr>
            <w:rFonts w:eastAsia="Times New Roman" w:cs="Times New Roman" w:ascii="Times New Roman" w:hAnsi="Times New Roman"/>
            <w:sz w:val="28"/>
            <w:szCs w:val="28"/>
          </w:rPr>
          <w:t>Главой 12</w:t>
        </w:r>
      </w:hyperlink>
      <w:r>
        <w:rPr>
          <w:rFonts w:eastAsia="Times New Roman" w:cs="Times New Roman" w:ascii="Times New Roman" w:hAnsi="Times New Roman"/>
          <w:sz w:val="28"/>
          <w:szCs w:val="28"/>
        </w:rPr>
        <w:t xml:space="preserve"> ЗК РФ предусмотрен контроль за соблюдением земельного законодательства, охраной и использованием земель (земельный контроль), который подразделяется на государственный земельный надзор, муниципальный и общественный земельный контроль, производственный земельный контроль.</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Задачей государственного земельного надзора является обеспечение соблюдения организациями независимо от их организационно-правовых форм и форм собственности, их руководителями, должностными лицами, а также гражданами земельного законодательства, требований охраны и использования земель.</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В соответствии с указанными нормами </w:t>
      </w:r>
      <w:hyperlink r:id="rId96">
        <w:r>
          <w:rPr>
            <w:rFonts w:eastAsia="Times New Roman" w:cs="Times New Roman" w:ascii="Times New Roman" w:hAnsi="Times New Roman"/>
            <w:sz w:val="28"/>
            <w:szCs w:val="28"/>
          </w:rPr>
          <w:t>ЗК</w:t>
        </w:r>
      </w:hyperlink>
      <w:r>
        <w:rPr>
          <w:rFonts w:eastAsia="Times New Roman" w:cs="Times New Roman" w:ascii="Times New Roman" w:hAnsi="Times New Roman"/>
          <w:sz w:val="28"/>
          <w:szCs w:val="28"/>
        </w:rPr>
        <w:t xml:space="preserve"> РФ на уровне федерального законодательства принято множество нормативных правовых актов, регламентирующих правоотношения в сфере государственного и муниципального земельного контроля, в частности Федеральный </w:t>
      </w:r>
      <w:hyperlink r:id="rId97">
        <w:r>
          <w:rPr>
            <w:rFonts w:eastAsia="Times New Roman" w:cs="Times New Roman" w:ascii="Times New Roman" w:hAnsi="Times New Roman"/>
            <w:sz w:val="28"/>
            <w:szCs w:val="28"/>
          </w:rPr>
          <w:t>закон</w:t>
        </w:r>
      </w:hyperlink>
      <w:r>
        <w:rPr>
          <w:rFonts w:eastAsia="Times New Roman" w:cs="Times New Roman" w:ascii="Times New Roman" w:hAnsi="Times New Roman"/>
          <w:sz w:val="28"/>
          <w:szCs w:val="28"/>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98">
        <w:r>
          <w:rPr>
            <w:rFonts w:eastAsia="Times New Roman" w:cs="Times New Roman" w:ascii="Times New Roman" w:hAnsi="Times New Roman"/>
            <w:sz w:val="28"/>
            <w:szCs w:val="28"/>
          </w:rPr>
          <w:t>постановление</w:t>
        </w:r>
      </w:hyperlink>
      <w:r>
        <w:rPr>
          <w:rFonts w:eastAsia="Times New Roman" w:cs="Times New Roman" w:ascii="Times New Roman" w:hAnsi="Times New Roman"/>
          <w:sz w:val="28"/>
          <w:szCs w:val="28"/>
        </w:rPr>
        <w:t xml:space="preserve"> Правительства РФ от 02.01.2015 № 1 «Об утверждении Положения о государственном земельном надзоре».</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Нормы указанного </w:t>
      </w:r>
      <w:hyperlink r:id="rId99">
        <w:r>
          <w:rPr>
            <w:rFonts w:eastAsia="Times New Roman" w:cs="Times New Roman" w:ascii="Times New Roman" w:hAnsi="Times New Roman"/>
            <w:sz w:val="28"/>
            <w:szCs w:val="28"/>
          </w:rPr>
          <w:t>закона</w:t>
        </w:r>
      </w:hyperlink>
      <w:r>
        <w:rPr>
          <w:rFonts w:eastAsia="Times New Roman" w:cs="Times New Roman" w:ascii="Times New Roman" w:hAnsi="Times New Roman"/>
          <w:sz w:val="28"/>
          <w:szCs w:val="28"/>
        </w:rPr>
        <w:t xml:space="preserve">, </w:t>
      </w:r>
      <w:hyperlink r:id="rId100">
        <w:r>
          <w:rPr>
            <w:rFonts w:eastAsia="Times New Roman" w:cs="Times New Roman" w:ascii="Times New Roman" w:hAnsi="Times New Roman"/>
            <w:sz w:val="28"/>
            <w:szCs w:val="28"/>
          </w:rPr>
          <w:t>статей 71</w:t>
        </w:r>
      </w:hyperlink>
      <w:r>
        <w:rPr>
          <w:rFonts w:eastAsia="Times New Roman" w:cs="Times New Roman" w:ascii="Times New Roman" w:hAnsi="Times New Roman"/>
          <w:sz w:val="28"/>
          <w:szCs w:val="28"/>
        </w:rPr>
        <w:t xml:space="preserve"> и </w:t>
      </w:r>
      <w:hyperlink r:id="rId101">
        <w:r>
          <w:rPr>
            <w:rFonts w:eastAsia="Times New Roman" w:cs="Times New Roman" w:ascii="Times New Roman" w:hAnsi="Times New Roman"/>
            <w:sz w:val="28"/>
            <w:szCs w:val="28"/>
          </w:rPr>
          <w:t>72</w:t>
        </w:r>
      </w:hyperlink>
      <w:r>
        <w:rPr>
          <w:rFonts w:eastAsia="Times New Roman" w:cs="Times New Roman" w:ascii="Times New Roman" w:hAnsi="Times New Roman"/>
          <w:sz w:val="28"/>
          <w:szCs w:val="28"/>
        </w:rPr>
        <w:t xml:space="preserve"> ЗК РФ, а также </w:t>
      </w:r>
      <w:hyperlink r:id="rId102">
        <w:r>
          <w:rPr>
            <w:rFonts w:eastAsia="Times New Roman" w:cs="Times New Roman" w:ascii="Times New Roman" w:hAnsi="Times New Roman"/>
            <w:sz w:val="28"/>
            <w:szCs w:val="28"/>
          </w:rPr>
          <w:t>Положения</w:t>
        </w:r>
      </w:hyperlink>
      <w:r>
        <w:rPr>
          <w:rFonts w:eastAsia="Times New Roman" w:cs="Times New Roman" w:ascii="Times New Roman" w:hAnsi="Times New Roman"/>
          <w:sz w:val="28"/>
          <w:szCs w:val="28"/>
        </w:rPr>
        <w:t xml:space="preserve"> о контроле нашли свое отражение в следующих муниципальных правовых актах на территории Приморского края:</w:t>
      </w:r>
    </w:p>
    <w:p>
      <w:pPr>
        <w:pStyle w:val="Normal"/>
        <w:tabs>
          <w:tab w:val="clear" w:pos="708"/>
          <w:tab w:val="left" w:pos="948" w:leader="none"/>
          <w:tab w:val="left" w:pos="108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Постановление администрации Находкинского городского округа от 12.01.2016 № 8 «О внесении изменений в административный регламент исполнения муниципальной функции «Осуществление муниципального земельного контроля на территории Находкинского городского округа», утвержденный постановлением администрации Находкинского городского округа от 04.09.2015 № 1224»;</w:t>
      </w:r>
    </w:p>
    <w:p>
      <w:pPr>
        <w:pStyle w:val="Normal"/>
        <w:tabs>
          <w:tab w:val="clear" w:pos="708"/>
          <w:tab w:val="left" w:pos="948" w:leader="none"/>
          <w:tab w:val="left" w:pos="1080" w:leader="none"/>
        </w:tabs>
        <w:spacing w:lineRule="auto" w:line="240" w:before="0" w:after="0"/>
        <w:jc w:val="both"/>
        <w:rPr>
          <w:rFonts w:ascii="Times New Roman" w:hAnsi="Times New Roman" w:eastAsia="Times New Roman" w:cs="Times New Roman"/>
          <w:sz w:val="28"/>
          <w:szCs w:val="28"/>
        </w:rPr>
      </w:pPr>
      <w:hyperlink r:id="rId103">
        <w:r>
          <w:rPr>
            <w:rFonts w:eastAsia="Times New Roman" w:cs="Times New Roman" w:ascii="Times New Roman" w:hAnsi="Times New Roman"/>
            <w:sz w:val="28"/>
            <w:szCs w:val="28"/>
          </w:rPr>
          <w:t xml:space="preserve">Постановление администрации Артемовского городского округа от 09.12.2015 № 2616-па «О внесении изменений в постановление администрации Артемовского городского округа от 12.08.2014 № 2793-па «Об утверждении административного регламента по исполнению муниципальной функции «Осуществление муниципального земельного контроля на территории Артемовского городского округа при использовании юридическими лицами и индивидуальными предпринимателями земель на территории Артемовского городского округа». </w:t>
        </w:r>
      </w:hyperlink>
    </w:p>
    <w:p>
      <w:pPr>
        <w:pStyle w:val="Normal"/>
        <w:tabs>
          <w:tab w:val="clear" w:pos="708"/>
          <w:tab w:val="left" w:pos="108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Согласно положениям, которые вступили в силу с 10.01.2016 юридическое лицо, индивидуальный предприниматель, проверка которых проводилась, в случае несогласия с фактами, выводами</w:t>
      </w:r>
      <w:r>
        <w:rPr>
          <w:rFonts w:eastAsia="Times New Roman" w:cs="Times New Roman" w:ascii="Times New Roman" w:hAnsi="Times New Roman"/>
          <w:color w:val="333333"/>
          <w:sz w:val="28"/>
          <w:szCs w:val="28"/>
          <w:shd w:fill="FFFFFF" w:val="clear"/>
        </w:rPr>
        <w:t xml:space="preserve">, </w:t>
      </w:r>
      <w:r>
        <w:rPr>
          <w:rFonts w:eastAsia="Times New Roman" w:cs="Times New Roman" w:ascii="Times New Roman" w:hAnsi="Times New Roman"/>
          <w:sz w:val="28"/>
          <w:szCs w:val="28"/>
        </w:rPr>
        <w:t>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орган, осуществляющий муниципальную функцию, в письменной форме возражения в отношении акта проверки.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осуществляющий муниципальную функцию. Указанные документы могут быть направлены в форме электронных документов.</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2. В соответствии со </w:t>
      </w:r>
      <w:hyperlink r:id="rId104">
        <w:r>
          <w:rPr>
            <w:rFonts w:eastAsia="Times New Roman" w:cs="Times New Roman" w:ascii="Times New Roman" w:hAnsi="Times New Roman"/>
            <w:sz w:val="28"/>
            <w:szCs w:val="28"/>
          </w:rPr>
          <w:t xml:space="preserve">статьей </w:t>
        </w:r>
      </w:hyperlink>
      <w:r>
        <w:rPr>
          <w:rFonts w:eastAsia="Times New Roman" w:cs="Times New Roman" w:ascii="Times New Roman" w:hAnsi="Times New Roman"/>
          <w:sz w:val="28"/>
          <w:szCs w:val="28"/>
        </w:rPr>
        <w:t>41 ГрК РФ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В соответствии со ст. 14 Федерального закона от 06.10.2003 № 131-ФЗ «Об общих принципах организации местного самоуправления в Российской Федерации» к вопросам местного значения городского и сельского поселения относится утверждение подготовленной на основе генеральных планов поселения документации по планировке территории. </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связи с этим соответствующими органами местного самоуправления на территории Приморского края в 2016 году были приняты следующие нормативные акты:</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Постановление администрации Хасанского муниципального района от 04.03.2016 № 90-па «Об утверждении Административного регламента предоставления муниципальной услуги «Выдача градостроительных планов земельных участков на территориях Барабашского и Безверховского сельских поселений, входящих в состав Хасанского муниципального района»;</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Постановление администрации Тернейского муниципального района от 14.03.2016 № 43 «Об утверждении Административного регламента администрации Тернейского муниципального района по представлению муниципальной услуги «Предоставление сведений, содержащихся в информационной системе обеспечения градостроительной деятельности Тернейского муниципального района»;</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Постановление администрации Дальнереченского муниципального района от 28.03.2016 № 123-па «Об утверждении Регламента предоставления администрацией Дальнереченского муниципального района муниципальной услуги «Выдача градостроительных планов земельных участков»;</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Постановление администрации Ольгинского муниципального района от 18.04.2016 № 71 «Об утверждении Административного регламента предоставления муниципальной услуги "Выдача градостроительных планов земельных участков»;</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Постановление администрации Михайловского муниципального района от 27.04.2016 № 323-па «Об утверждении Административного регламента администрации Михайловского муниципального района по предоставлению муниципальной услуги «Выдача градостроительных планов земельных участков»;</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Постановление администрации Уссурийского городского округа от 29.06.2016 № 1912 «О наделении полномочиями управление градостроительства администрации Уссурийского городского округа на организацию работ по образованию земельных участков с целью проведения аукционов по инициативе администрации Уссурийского городского округа»;</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Постановление администрации Уссурийского городского округа от 21.07.2016 № 2209-НПА «Об утверждении Административного регламента по предоставлению муниципальной услуги «Предоставление земельных участков, находящихся в ведении и (или) собственности органов местного самоуправления муниципальных образований, без торгов» на территории Уссурийского городского округа»;</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Постановление администрации Чугуевского муниципального района от 04.08.2016 № 346-НПА «Об утверждении административного регламента предоставления муниципальной услуги «Выдача градостроительных планов земельных участков»;</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Постановление администрации Артемовского городского округа от 23.09.2016 № 798-па «Об утверждении муниципальной программы «Организация градостроительной деятельности Артемовского городского округа на 2016 - 2018 годы».</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Следует также отметить, что в 2016 году Управление приняло участие в 2676 гражданских делах, связанном с использованием земельных участков, что на 59 % больше, чем в 2015 году. Сравнительные данные об участии в судебных заседаниях приведены в таблице 12.</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jc w:val="right"/>
        <w:rPr>
          <w:rFonts w:ascii="Times New Roman" w:hAnsi="Times New Roman" w:eastAsia="Times New Roman" w:cs="Times New Roman"/>
          <w:sz w:val="28"/>
          <w:szCs w:val="28"/>
        </w:rPr>
      </w:pPr>
      <w:r>
        <w:rPr>
          <w:rFonts w:eastAsia="Times New Roman" w:cs="Times New Roman" w:ascii="Times New Roman" w:hAnsi="Times New Roman"/>
          <w:sz w:val="28"/>
          <w:szCs w:val="28"/>
        </w:rPr>
        <w:t>Таблица 12</w:t>
      </w:r>
    </w:p>
    <w:p>
      <w:pPr>
        <w:pStyle w:val="Normal"/>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Сравнительные показатели</w:t>
      </w:r>
    </w:p>
    <w:p>
      <w:pPr>
        <w:pStyle w:val="Normal"/>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2015-2016 годов об участии в судебных заседаниях</w:t>
      </w:r>
    </w:p>
    <w:tbl>
      <w:tblPr>
        <w:tblW w:w="9570"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1007"/>
        <w:gridCol w:w="5939"/>
        <w:gridCol w:w="1261"/>
        <w:gridCol w:w="1362"/>
      </w:tblGrid>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п/п</w:t>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2015 год</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2016 год</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w:t>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Количество гражданских дел, по которым привлекалось Управление</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1686</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2676</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т.ч. в судах общей юрисдикции</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1219</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1949</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т.ч. в Арбитражном суде Приморского края</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467</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727</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2</w:t>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Из них Управление привлекалось в качестве ответчика</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134</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381</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т.ч. в судах общей юрисдикции</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95</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365</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т.ч. в Арбитражном суде Приморского края</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39</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16</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3</w:t>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Из них Управление привлекалось в качестве 3-его лица</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1030</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1607</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т.ч. в судах общей юрисдикции</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856</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1310</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т.ч. в Арбитражном суде Приморского края</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174</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297</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4</w:t>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Из них Управление привлекалось в качестве заинтересованного лица</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494</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345</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т.ч. в судах общей юрисдикции</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266</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77</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т.ч. в Арбитражном суде Приморского края</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228</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268</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5</w:t>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Вынесено решений в пользу Управления</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297</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343</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т.ч. в судах общей юрисдикции</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163</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197</w:t>
            </w:r>
          </w:p>
        </w:tc>
      </w:tr>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593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34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т.ч. в Арбитражном суде Приморского края</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134</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340" w:leader="none"/>
              </w:tabs>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146</w:t>
            </w:r>
          </w:p>
        </w:tc>
      </w:tr>
    </w:tbl>
    <w:p>
      <w:pPr>
        <w:pStyle w:val="Normal"/>
        <w:spacing w:lineRule="auto" w:line="240"/>
        <w:rPr>
          <w:rFonts w:ascii="Times New Roman" w:hAnsi="Times New Roman" w:eastAsia="" w:cs="Times New Roman" w:eastAsiaTheme="majorEastAsia"/>
          <w:b/>
          <w:b/>
          <w:sz w:val="32"/>
          <w:szCs w:val="32"/>
          <w:lang w:eastAsia="en-US" w:bidi="en-US"/>
        </w:rPr>
      </w:pPr>
      <w:r>
        <w:rPr>
          <w:rFonts w:eastAsia="" w:cs="Times New Roman" w:eastAsiaTheme="majorEastAsia" w:ascii="Times New Roman" w:hAnsi="Times New Roman"/>
          <w:b/>
          <w:sz w:val="32"/>
          <w:szCs w:val="32"/>
          <w:lang w:eastAsia="en-US" w:bidi="en-US"/>
        </w:rPr>
      </w:r>
    </w:p>
    <w:p>
      <w:pPr>
        <w:pStyle w:val="Normal"/>
        <w:rPr/>
      </w:pPr>
      <w:r>
        <w:rPr/>
      </w:r>
    </w:p>
    <w:p>
      <w:pPr>
        <w:pStyle w:val="Normal"/>
        <w:spacing w:lineRule="auto" w:line="240" w:before="0" w:after="0"/>
        <w:contextualSpacing/>
        <w:jc w:val="center"/>
        <w:rPr>
          <w:rFonts w:ascii="Times New Roman" w:hAnsi="Times New Roman" w:eastAsia="" w:cs="Times New Roman" w:eastAsiaTheme="majorEastAsia"/>
          <w:b/>
          <w:b/>
          <w:smallCaps/>
          <w:sz w:val="32"/>
          <w:szCs w:val="32"/>
          <w:lang w:val="en-US" w:eastAsia="en-US" w:bidi="en-US"/>
        </w:rPr>
      </w:pPr>
      <w:r>
        <w:rPr>
          <w:rFonts w:eastAsia="" w:cs="Times New Roman" w:eastAsiaTheme="majorEastAsia" w:ascii="Times New Roman" w:hAnsi="Times New Roman"/>
          <w:b/>
          <w:smallCaps/>
          <w:sz w:val="32"/>
          <w:szCs w:val="32"/>
          <w:lang w:val="en-US" w:eastAsia="en-US" w:bidi="en-US"/>
        </w:rPr>
      </w:r>
    </w:p>
    <w:p>
      <w:pPr>
        <w:pStyle w:val="Normal"/>
        <w:spacing w:lineRule="auto" w:line="240" w:before="0" w:after="0"/>
        <w:contextualSpacing/>
        <w:jc w:val="center"/>
        <w:rPr>
          <w:rFonts w:ascii="Times New Roman" w:hAnsi="Times New Roman" w:eastAsia="" w:cs="Times New Roman" w:eastAsiaTheme="majorEastAsia"/>
          <w:b/>
          <w:b/>
          <w:smallCaps/>
          <w:sz w:val="32"/>
          <w:szCs w:val="32"/>
          <w:lang w:eastAsia="en-US" w:bidi="en-US"/>
        </w:rPr>
      </w:pPr>
      <w:r>
        <w:rPr>
          <w:rFonts w:eastAsia="" w:cs="Times New Roman" w:ascii="Times New Roman" w:hAnsi="Times New Roman" w:eastAsiaTheme="majorEastAsia"/>
          <w:b/>
          <w:smallCaps/>
          <w:sz w:val="32"/>
          <w:szCs w:val="32"/>
          <w:lang w:eastAsia="en-US" w:bidi="en-US"/>
        </w:rPr>
        <w:t>3. ОБЕСПЕЧЕНИЕ УПРАВЛЕНИЯ ЗЕМЕЛЬНЫМИ РЕСУРСАМИ В ПРИМОРСКОМ КРАЕ</w:t>
      </w:r>
      <w:bookmarkStart w:id="522" w:name="_Toc508009255"/>
      <w:bookmarkStart w:id="523" w:name="_Toc33534083"/>
      <w:bookmarkStart w:id="524" w:name="_Toc34212869"/>
      <w:bookmarkStart w:id="525" w:name="_Toc34558249"/>
      <w:bookmarkStart w:id="526" w:name="_Toc34559047"/>
      <w:bookmarkStart w:id="527" w:name="_Toc34559223"/>
      <w:bookmarkStart w:id="528" w:name="_Toc34560066"/>
      <w:bookmarkStart w:id="529" w:name="_Toc34560113"/>
      <w:bookmarkStart w:id="530" w:name="_Toc34560203"/>
      <w:bookmarkStart w:id="531" w:name="_Toc95718786"/>
      <w:bookmarkStart w:id="532" w:name="_Toc96823435"/>
      <w:bookmarkStart w:id="533" w:name="_Toc97106189"/>
    </w:p>
    <w:p>
      <w:pPr>
        <w:pStyle w:val="Normal"/>
        <w:spacing w:lineRule="auto" w:line="240" w:before="0" w:after="0"/>
        <w:contextualSpacing/>
        <w:jc w:val="center"/>
        <w:rPr>
          <w:rFonts w:ascii="Times New Roman" w:hAnsi="Times New Roman" w:eastAsia="" w:cs="Times New Roman" w:eastAsiaTheme="majorEastAsia"/>
          <w:b/>
          <w:b/>
          <w:smallCaps/>
          <w:sz w:val="28"/>
          <w:szCs w:val="28"/>
          <w:lang w:eastAsia="en-US" w:bidi="en-US"/>
        </w:rPr>
      </w:pPr>
      <w:r>
        <w:rPr>
          <w:rFonts w:eastAsia="" w:cs="Times New Roman" w:eastAsiaTheme="majorEastAsia" w:ascii="Times New Roman" w:hAnsi="Times New Roman"/>
          <w:b/>
          <w:smallCaps/>
          <w:sz w:val="28"/>
          <w:szCs w:val="28"/>
          <w:lang w:eastAsia="en-US" w:bidi="en-US"/>
        </w:rPr>
      </w:r>
    </w:p>
    <w:p>
      <w:pPr>
        <w:pStyle w:val="Normal"/>
        <w:spacing w:lineRule="auto" w:line="360" w:before="0" w:after="0"/>
        <w:contextualSpacing/>
        <w:jc w:val="center"/>
        <w:rPr>
          <w:rFonts w:ascii="Times New Roman" w:hAnsi="Times New Roman" w:eastAsia="" w:cs="Times New Roman" w:eastAsiaTheme="majorEastAsia"/>
          <w:b/>
          <w:b/>
          <w:smallCaps/>
          <w:sz w:val="28"/>
          <w:szCs w:val="28"/>
          <w:lang w:eastAsia="en-US" w:bidi="en-US"/>
        </w:rPr>
      </w:pPr>
      <w:r>
        <w:rPr>
          <w:rFonts w:eastAsia="" w:cs="Times New Roman" w:ascii="Times New Roman" w:hAnsi="Times New Roman" w:eastAsiaTheme="majorEastAsia"/>
          <w:b/>
          <w:smallCaps/>
          <w:sz w:val="28"/>
          <w:szCs w:val="28"/>
          <w:lang w:eastAsia="en-US" w:bidi="en-US"/>
        </w:rPr>
        <w:t>3.1. ГОСУДАРСТВЕННЫЙ КАДАСТР НЕДВИЖИМОСТИ</w:t>
      </w:r>
      <w:bookmarkEnd w:id="522"/>
      <w:bookmarkEnd w:id="523"/>
      <w:bookmarkEnd w:id="524"/>
      <w:bookmarkEnd w:id="525"/>
      <w:bookmarkEnd w:id="526"/>
      <w:bookmarkEnd w:id="527"/>
      <w:bookmarkEnd w:id="528"/>
      <w:bookmarkEnd w:id="529"/>
      <w:bookmarkEnd w:id="530"/>
      <w:bookmarkEnd w:id="531"/>
      <w:bookmarkEnd w:id="532"/>
      <w:bookmarkEnd w:id="533"/>
    </w:p>
    <w:p>
      <w:pPr>
        <w:pStyle w:val="Normal"/>
        <w:widowControl w:val="false"/>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ascii="Times New Roman" w:hAnsi="Times New Roman" w:eastAsiaTheme="majorEastAsia"/>
          <w:b/>
          <w:sz w:val="28"/>
          <w:szCs w:val="28"/>
          <w:lang w:eastAsia="en-US" w:bidi="en-US"/>
        </w:rPr>
        <w:t>3.1.1. Кадастровое деление  территории кадастрового округа</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Земельные ресурсы Приморского края являются социально-экономическим объектом управления.</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Управление земельными ресурсами, как  объектом уникальным, многофункционально и структурно сложно. Это управление действует на взаимосвязанных уровнях: федеральном, субъекта Федерации и муниципальном, комплексно реализующих единую государственную земельную политику в тесном взаимодействии с хозяйствующими на земле субъектами.</w:t>
      </w:r>
    </w:p>
    <w:p>
      <w:pPr>
        <w:pStyle w:val="Normal"/>
        <w:numPr>
          <w:ilvl w:val="0"/>
          <w:numId w:val="0"/>
        </w:numPr>
        <w:spacing w:lineRule="auto" w:line="240"/>
        <w:jc w:val="both"/>
        <w:outlineLvl w:val="0"/>
        <w:rPr>
          <w:rFonts w:ascii="Times New Roman" w:hAnsi="Times New Roman" w:eastAsia="Times New Roman" w:cs="Times New Roman"/>
          <w:sz w:val="28"/>
          <w:szCs w:val="28"/>
        </w:rPr>
      </w:pPr>
      <w:r>
        <w:rPr>
          <w:rFonts w:eastAsia="Times New Roman" w:cs="Times New Roman" w:ascii="Times New Roman" w:hAnsi="Times New Roman"/>
          <w:sz w:val="28"/>
          <w:szCs w:val="28"/>
        </w:rPr>
        <w:t>Кадастровое деление территории Приморского края было выполнено в соответствии с правилами кадастрового деления территории Российской Федерации, утвержденными постановлением правительства Российской Федерации от  06.09.2000 № 660 и утверждено приказом руководителя Комитета по земельным ресурсам и землеустройству Приморского края от 12.07.2001 № 96. В соответствии с п. 4 требований к</w:t>
      </w:r>
      <w:r>
        <w:rPr>
          <w:rFonts w:eastAsia="Times New Roman" w:cs="Times New Roman" w:ascii="Times New Roman" w:hAnsi="Times New Roman"/>
          <w:sz w:val="28"/>
          <w:szCs w:val="28"/>
          <w:lang w:val="en-US"/>
        </w:rPr>
        <w:t> </w:t>
      </w:r>
      <w:r>
        <w:rPr>
          <w:rFonts w:eastAsia="Times New Roman" w:cs="Times New Roman" w:ascii="Times New Roman" w:hAnsi="Times New Roman"/>
          <w:sz w:val="28"/>
          <w:szCs w:val="28"/>
        </w:rPr>
        <w:t xml:space="preserve">кадастровому делению территории, утвержденных приказом Федеральной службы земельного кадастра России от 15.06.2001 № П/117, материалы кадастрового деления Приморского края содержат: </w:t>
      </w:r>
    </w:p>
    <w:p>
      <w:pPr>
        <w:pStyle w:val="Normal"/>
        <w:numPr>
          <w:ilvl w:val="0"/>
          <w:numId w:val="0"/>
        </w:numPr>
        <w:spacing w:lineRule="auto" w:line="240"/>
        <w:jc w:val="both"/>
        <w:outlineLvl w:val="0"/>
        <w:rPr>
          <w:rFonts w:ascii="Times New Roman" w:hAnsi="Times New Roman" w:eastAsia="Times New Roman" w:cs="Times New Roman"/>
          <w:sz w:val="28"/>
          <w:szCs w:val="28"/>
        </w:rPr>
      </w:pPr>
      <w:r>
        <w:rPr>
          <w:rFonts w:eastAsia="Times New Roman" w:cs="Times New Roman" w:ascii="Times New Roman" w:hAnsi="Times New Roman"/>
          <w:sz w:val="28"/>
          <w:szCs w:val="28"/>
        </w:rPr>
        <w:t>- схемы (или набор отдельных фрагментов схемы) расположения кадастровых кварталов в границах территории кадастрового района, содержащие их номера в кадастровом районе;</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описания прохождения границ кадастровых кварталов. </w:t>
      </w:r>
    </w:p>
    <w:p>
      <w:pPr>
        <w:pStyle w:val="Normal"/>
        <w:spacing w:lineRule="auto" w:line="240" w:before="0" w:after="0"/>
        <w:jc w:val="both"/>
        <w:rPr>
          <w:rFonts w:ascii="Times New Roman" w:hAnsi="Times New Roman" w:cs="Times New Roman"/>
          <w:sz w:val="28"/>
          <w:szCs w:val="28"/>
        </w:rPr>
      </w:pPr>
      <w:r>
        <w:rPr>
          <w:rFonts w:eastAsia="Times New Roman" w:cs="Times New Roman" w:ascii="Times New Roman" w:hAnsi="Times New Roman"/>
          <w:sz w:val="28"/>
          <w:szCs w:val="28"/>
        </w:rPr>
        <w:t xml:space="preserve">В соответствии с Правилами присвоения кадастровых номеров земельным участкам, письмом Росземкадастра № ВК/122 от 19.03.2001 «О требованиях к кадастровому делению» утвержден Перечень названий, кадастровых номеров районов (городов) в Приморском крае и схема их взаимного расположения (рис. 19). На территории кадастрового округа выделено 36 кадастровых районов. </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Материалы по кадастровому делению, полученные от Управления Роснедвижимости по Приморскому краю согласно акту передачи материалов кадастрового деления кадастрового округа № 25 от 28 октября 2008 </w:t>
      </w:r>
      <w:r>
        <w:rPr>
          <w:rFonts w:cs="Times New Roman" w:ascii="Times New Roman" w:hAnsi="Times New Roman"/>
          <w:sz w:val="28"/>
          <w:szCs w:val="28"/>
        </w:rPr>
        <w:t>года</w:t>
      </w:r>
      <w:r>
        <w:rPr>
          <w:rFonts w:eastAsia="Times New Roman" w:cs="Times New Roman" w:ascii="Times New Roman" w:hAnsi="Times New Roman"/>
          <w:sz w:val="28"/>
          <w:szCs w:val="28"/>
        </w:rPr>
        <w:t xml:space="preserve"> органом кадастрового учета были тщательно проанализированы, в результате было выявлено, что они не могут быть использованы в полном объеме по следующим причинам: </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списки кварталов не согласовываются с реестрами кадастровых кварталов приложенных к схемам кадастрового деления;</w:t>
      </w:r>
    </w:p>
    <w:p>
      <w:pPr>
        <w:pStyle w:val="Normal"/>
        <w:spacing w:lineRule="auto" w:line="240" w:before="0" w:after="0"/>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ряд кварталов не имеют графической информации на представленных схемах кадастрового деления районов, вместе с тем при</w:t>
      </w:r>
      <w:r>
        <w:rPr>
          <w:rFonts w:eastAsia="Times New Roman" w:cs="Times New Roman"/>
          <w:sz w:val="28"/>
          <w:szCs w:val="28"/>
        </w:rPr>
        <w:t xml:space="preserve"> </w:t>
      </w:r>
      <w:r>
        <w:rPr>
          <w:rFonts w:eastAsia="Times New Roman" w:cs="Times New Roman" w:ascii="Times New Roman" w:hAnsi="Times New Roman"/>
          <w:sz w:val="28"/>
          <w:szCs w:val="28"/>
        </w:rPr>
        <w:t>наличии графической информации на схемах кадастрового деления районов отсутствуют номера кадастровых кварталов в списках;</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картографический материал по мелкости масштаба не позволяет четко установить границы кадастрового деления в соответствии с «Рекомендациями по нанесению информации ГЗК на цифровые ортофотопланы», а отсутствие каталогов координат пунктов ОМС и утвержденных описаний границ кадастровых кварталов, районов и кадастрового округа не дают возможности практического использования представленных материалов. </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Кроме того, в настоящее время в отношении имеющегося актуального кадастрового деления имеются неразрешенные проблемы.</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В материалах по кадастровому делению, полученных от Управления Роснедвижимости по Приморскому краю, значился кадастровый район под кадастровым номером 25:37, относящийся непосредственно к озеру Ханка, и включающий только данный водный объект. Вышеуказанный кадастровый район иначально не был внесен в государственный кадастр недвижимости по причине отсутствия практики ведения такого рода объектов водного фонда. Распределение территории указанного кадастрового района по смежным кадастровым районам было признано не целесообразным, так как данное действие нарушило бы характеристики этих районов (такие, например, как площадь). Кроме того, в семантическом описании границ смежных с озером кадастровых районов отсутствуют данные о включении акватории о. Ханка в границы районов. Отсутствие в государственном кадастре недвижимости указанных сведений образует пробел в значительной части территории кадастрового округа и нарушает целостность кадастрового деления. </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Также необходимо отметить отсутствие в государственном кадастре недвижимости сведений о прохождении границы РФ, которая, в свою очередь, определяет границы пограничных с КНР и КНДР районов, в том числе и водную границу о. Ханка.  </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С момента перехода на централизованный кадастровый учет органом кадастрового учета на постоянной основе осуществляется мониторинг</w:t>
      </w:r>
      <w:r>
        <w:rPr>
          <w:rFonts w:eastAsia="" w:cs="Times New Roman" w:ascii="Times New Roman" w:hAnsi="Times New Roman" w:eastAsiaTheme="majorEastAsia"/>
          <w:i/>
          <w:iCs/>
          <w:color w:val="404040" w:themeColor="text1" w:themeTint="bf"/>
          <w:sz w:val="28"/>
          <w:szCs w:val="28"/>
          <w:lang w:eastAsia="en-US" w:bidi="en-US"/>
        </w:rPr>
        <w:t xml:space="preserve"> </w:t>
      </w:r>
      <w:r>
        <w:rPr>
          <w:rFonts w:eastAsia="Times New Roman" w:cs="Times New Roman" w:ascii="Times New Roman" w:hAnsi="Times New Roman"/>
          <w:sz w:val="28"/>
          <w:szCs w:val="28"/>
        </w:rPr>
        <w:t>графической базы данных автоматизированной информационной системы государственного кадастра недвижимости (далее – АИС ГКН) на наличие содержащихся в государственном кадастре недвижимости ошибок о границах единиц кадастрового деления.</w:t>
      </w:r>
      <w:r>
        <w:rPr>
          <w:sz w:val="28"/>
          <w:szCs w:val="28"/>
        </w:rPr>
        <w:t xml:space="preserve"> </w:t>
      </w:r>
      <w:r>
        <w:rPr>
          <w:rFonts w:eastAsia="Times New Roman" w:cs="Times New Roman" w:ascii="Times New Roman" w:hAnsi="Times New Roman"/>
          <w:sz w:val="28"/>
          <w:szCs w:val="28"/>
        </w:rPr>
        <w:t>На данный момент органом кадастрового учета осуществляется  централизованный кадастровый учет в базе АИС ГКН, все кадастровые кварталы кадастрового округа содержат графическую часть</w:t>
      </w:r>
      <w:r>
        <w:rPr>
          <w:rFonts w:cs="Times New Roman" w:ascii="Times New Roman" w:hAnsi="Times New Roman"/>
          <w:sz w:val="28"/>
          <w:szCs w:val="28"/>
        </w:rPr>
        <w:t>.</w:t>
      </w:r>
    </w:p>
    <w:p>
      <w:pPr>
        <w:pStyle w:val="Normal"/>
        <w:spacing w:lineRule="auto" w:line="240" w:before="0" w:after="0"/>
        <w:jc w:val="both"/>
        <w:rPr>
          <w:rFonts w:ascii="Times New Roman" w:hAnsi="Times New Roman" w:cs="Times New Roman"/>
          <w:sz w:val="28"/>
          <w:szCs w:val="28"/>
        </w:rPr>
      </w:pPr>
      <w:r>
        <w:rPr>
          <w:rFonts w:eastAsia="Times New Roman" w:cs="Times New Roman" w:ascii="Times New Roman" w:hAnsi="Times New Roman"/>
          <w:sz w:val="28"/>
          <w:szCs w:val="28"/>
        </w:rPr>
        <w:t>Результаты анализа вышеуказанных материалов по соответствию кадастровых</w:t>
      </w:r>
      <w:r>
        <w:rPr>
          <w:rFonts w:eastAsia="Times New Roman" w:cs="Times New Roman" w:ascii="Times New Roman" w:hAnsi="Times New Roman"/>
          <w:sz w:val="28"/>
          <w:szCs w:val="28"/>
          <w:lang w:val="en-US"/>
        </w:rPr>
        <w:t> </w:t>
      </w:r>
      <w:r>
        <w:rPr>
          <w:rFonts w:eastAsia="Times New Roman" w:cs="Times New Roman" w:ascii="Times New Roman" w:hAnsi="Times New Roman"/>
          <w:sz w:val="28"/>
          <w:szCs w:val="28"/>
        </w:rPr>
        <w:t>кварталов</w:t>
      </w:r>
      <w:r>
        <w:rPr>
          <w:rFonts w:eastAsia="Times New Roman" w:cs="Times New Roman" w:ascii="Times New Roman" w:hAnsi="Times New Roman"/>
          <w:sz w:val="28"/>
          <w:szCs w:val="28"/>
          <w:lang w:val="en-US"/>
        </w:rPr>
        <w:t> </w:t>
      </w:r>
      <w:r>
        <w:rPr>
          <w:rFonts w:eastAsia="Times New Roman" w:cs="Times New Roman" w:ascii="Times New Roman" w:hAnsi="Times New Roman"/>
          <w:sz w:val="28"/>
          <w:szCs w:val="28"/>
        </w:rPr>
        <w:t>отражены</w:t>
      </w:r>
      <w:r>
        <w:rPr>
          <w:rFonts w:eastAsia="Times New Roman" w:cs="Times New Roman" w:ascii="Times New Roman" w:hAnsi="Times New Roman"/>
          <w:sz w:val="28"/>
          <w:szCs w:val="28"/>
          <w:lang w:val="en-US"/>
        </w:rPr>
        <w:t> </w:t>
      </w:r>
      <w:r>
        <w:rPr>
          <w:rFonts w:eastAsia="Times New Roman" w:cs="Times New Roman" w:ascii="Times New Roman" w:hAnsi="Times New Roman"/>
          <w:sz w:val="28"/>
          <w:szCs w:val="28"/>
        </w:rPr>
        <w:t>в</w:t>
      </w:r>
      <w:r>
        <w:rPr>
          <w:rFonts w:eastAsia="Times New Roman" w:cs="Times New Roman" w:ascii="Times New Roman" w:hAnsi="Times New Roman"/>
          <w:sz w:val="28"/>
          <w:szCs w:val="28"/>
          <w:lang w:val="en-US"/>
        </w:rPr>
        <w:t> </w:t>
      </w:r>
      <w:r>
        <w:rPr>
          <w:rFonts w:cs="Times New Roman" w:ascii="Times New Roman" w:hAnsi="Times New Roman"/>
          <w:sz w:val="28"/>
          <w:szCs w:val="28"/>
        </w:rPr>
        <w:t>приложении 5.</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Приказы ФГБУ «ФКП Росреестра» об утверждении (установлении, изменении) кадастрового деления кадастровых районов и кадастровых кварталов в границах кадастрового округа 25 (Приморский край) в 2016 году не издавались.</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0" distB="16510" distL="0" distR="0" simplePos="0" locked="0" layoutInCell="0" allowOverlap="1" relativeHeight="17" wp14:anchorId="2D40E348">
                <wp:simplePos x="0" y="0"/>
                <wp:positionH relativeFrom="column">
                  <wp:posOffset>-579755</wp:posOffset>
                </wp:positionH>
                <wp:positionV relativeFrom="paragraph">
                  <wp:posOffset>167005</wp:posOffset>
                </wp:positionV>
                <wp:extent cx="6887845" cy="4652010"/>
                <wp:effectExtent l="0" t="1117600" r="0" b="1117600"/>
                <wp:wrapThrough wrapText="bothSides">
                  <wp:wrapPolygon edited="0">
                    <wp:start x="-19" y="21572"/>
                    <wp:lineTo x="21547" y="21572"/>
                    <wp:lineTo x="21547" y="78"/>
                    <wp:lineTo x="-19" y="78"/>
                    <wp:lineTo x="-19" y="21572"/>
                  </wp:wrapPolygon>
                </wp:wrapThrough>
                <wp:docPr id="31" name="Рисунок 1"/>
                <a:graphic xmlns:a="http://schemas.openxmlformats.org/drawingml/2006/main">
                  <a:graphicData uri="http://schemas.openxmlformats.org/drawingml/2006/picture">
                    <pic:pic xmlns:pic="http://schemas.openxmlformats.org/drawingml/2006/picture">
                      <pic:nvPicPr>
                        <pic:cNvPr id="7" name="Рисунок 1" descr=""/>
                        <pic:cNvPicPr/>
                      </pic:nvPicPr>
                      <pic:blipFill>
                        <a:blip r:embed="rId105"/>
                        <a:srcRect l="0" t="15319" r="0" b="3129"/>
                        <a:stretch/>
                      </pic:blipFill>
                      <pic:spPr>
                        <a:xfrm rot="5400000">
                          <a:off x="0" y="0"/>
                          <a:ext cx="6887880" cy="4651920"/>
                        </a:xfrm>
                        <a:prstGeom prst="rect">
                          <a:avLst/>
                        </a:prstGeom>
                        <a:ln w="0">
                          <a:noFill/>
                        </a:ln>
                      </pic:spPr>
                    </pic:pic>
                  </a:graphicData>
                </a:graphic>
              </wp:anchor>
            </w:drawing>
          </mc:Choice>
          <mc:Fallback>
            <w:pict>
              <v:shape id="shape_0" ID="Рисунок 1" stroked="f" o:allowincell="f" style="position:absolute;margin-left:-45.65pt;margin-top:13.1pt;width:542.3pt;height:366.25pt;mso-wrap-style:none;v-text-anchor:middle;rotation:90" wp14:anchorId="2D40E348" type="_x0000_t75">
                <v:imagedata r:id="rId105" o:detectmouseclick="t"/>
                <v:stroke color="#3465a4" joinstyle="round" endcap="flat"/>
                <w10:wrap type="square"/>
              </v:shape>
            </w:pict>
          </mc:Fallback>
        </mc:AlternateConten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4"/>
          <w:szCs w:val="24"/>
          <w:lang w:eastAsia="en-US" w:bidi="en-US"/>
        </w:rPr>
      </w:pPr>
      <w:r>
        <w:rPr>
          <w:rFonts w:eastAsia="" w:cs="Times New Roman" w:eastAsiaTheme="majorEastAsia" w:ascii="Times New Roman" w:hAnsi="Times New Roman"/>
          <w:b/>
          <w:sz w:val="24"/>
          <w:szCs w:val="24"/>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4"/>
          <w:szCs w:val="24"/>
          <w:lang w:eastAsia="en-US" w:bidi="en-US"/>
        </w:rPr>
      </w:pPr>
      <w:r>
        <w:rPr>
          <w:rFonts w:eastAsia="" w:cs="Times New Roman" w:eastAsiaTheme="majorEastAsia" w:ascii="Times New Roman" w:hAnsi="Times New Roman"/>
          <w:b/>
          <w:sz w:val="24"/>
          <w:szCs w:val="24"/>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4"/>
          <w:szCs w:val="24"/>
          <w:lang w:eastAsia="en-US" w:bidi="en-US"/>
        </w:rPr>
      </w:pPr>
      <w:r>
        <w:rPr>
          <w:rFonts w:eastAsia="" w:cs="Times New Roman" w:eastAsiaTheme="majorEastAsia" w:ascii="Times New Roman" w:hAnsi="Times New Roman"/>
          <w:b/>
          <w:sz w:val="24"/>
          <w:szCs w:val="24"/>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4"/>
          <w:szCs w:val="24"/>
          <w:lang w:eastAsia="en-US" w:bidi="en-US"/>
        </w:rPr>
      </w:pPr>
      <w:r>
        <w:rPr>
          <w:rFonts w:eastAsia="" w:cs="Times New Roman" w:eastAsiaTheme="majorEastAsia" w:ascii="Times New Roman" w:hAnsi="Times New Roman"/>
          <w:b/>
          <w:sz w:val="24"/>
          <w:szCs w:val="24"/>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4"/>
          <w:szCs w:val="24"/>
          <w:lang w:eastAsia="en-US" w:bidi="en-US"/>
        </w:rPr>
      </w:pPr>
      <w:r>
        <w:rPr>
          <w:rFonts w:eastAsia="" w:cs="Times New Roman" w:eastAsiaTheme="majorEastAsia" w:ascii="Times New Roman" w:hAnsi="Times New Roman"/>
          <w:b/>
          <w:sz w:val="24"/>
          <w:szCs w:val="24"/>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4"/>
          <w:szCs w:val="24"/>
          <w:lang w:eastAsia="en-US" w:bidi="en-US"/>
        </w:rPr>
      </w:pPr>
      <w:r>
        <w:rPr>
          <w:rFonts w:eastAsia="" w:cs="Times New Roman" w:eastAsiaTheme="majorEastAsia" w:ascii="Times New Roman" w:hAnsi="Times New Roman"/>
          <w:b/>
          <w:sz w:val="24"/>
          <w:szCs w:val="24"/>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4"/>
          <w:szCs w:val="24"/>
          <w:lang w:eastAsia="en-US" w:bidi="en-US"/>
        </w:rPr>
      </w:pPr>
      <w:r>
        <w:rPr>
          <w:rFonts w:eastAsia="" w:cs="Times New Roman" w:eastAsiaTheme="majorEastAsia" w:ascii="Times New Roman" w:hAnsi="Times New Roman"/>
          <w:b/>
          <w:sz w:val="24"/>
          <w:szCs w:val="24"/>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4"/>
          <w:szCs w:val="24"/>
          <w:lang w:eastAsia="en-US" w:bidi="en-US"/>
        </w:rPr>
      </w:pPr>
      <w:r>
        <w:rPr>
          <w:rFonts w:eastAsia="" w:cs="Times New Roman" w:eastAsiaTheme="majorEastAsia" w:ascii="Times New Roman" w:hAnsi="Times New Roman"/>
          <w:b/>
          <w:sz w:val="24"/>
          <w:szCs w:val="24"/>
          <w:lang w:eastAsia="en-US" w:bidi="en-US"/>
        </w:rPr>
      </w:r>
    </w:p>
    <w:p>
      <w:pPr>
        <w:pStyle w:val="Normal"/>
        <w:spacing w:lineRule="auto" w:line="240" w:before="240" w:after="200"/>
        <w:contextualSpacing/>
        <w:jc w:val="center"/>
        <w:rPr>
          <w:rFonts w:ascii="Times New Roman" w:hAnsi="Times New Roman" w:eastAsia="" w:cs="Times New Roman" w:eastAsiaTheme="majorEastAsia"/>
          <w:b/>
          <w:b/>
          <w:sz w:val="24"/>
          <w:szCs w:val="24"/>
          <w:lang w:eastAsia="en-US" w:bidi="en-US"/>
        </w:rPr>
      </w:pPr>
      <w:r>
        <w:rPr>
          <w:rFonts w:eastAsia="" w:cs="Times New Roman" w:eastAsiaTheme="majorEastAsia" w:ascii="Times New Roman" w:hAnsi="Times New Roman"/>
          <w:b/>
          <w:sz w:val="24"/>
          <w:szCs w:val="24"/>
          <w:lang w:eastAsia="en-US" w:bidi="en-US"/>
        </w:rPr>
      </w:r>
    </w:p>
    <w:p>
      <w:pPr>
        <w:pStyle w:val="Normal"/>
        <w:spacing w:lineRule="auto" w:line="240" w:before="240" w:after="200"/>
        <w:contextualSpacing/>
        <w:jc w:val="center"/>
        <w:rPr>
          <w:rFonts w:ascii="Times New Roman" w:hAnsi="Times New Roman" w:eastAsia="" w:cs="Times New Roman" w:eastAsiaTheme="majorEastAsia"/>
          <w:b/>
          <w:b/>
          <w:sz w:val="24"/>
          <w:szCs w:val="24"/>
          <w:lang w:eastAsia="en-US" w:bidi="en-US"/>
        </w:rPr>
      </w:pPr>
      <w:r>
        <w:rPr>
          <w:rFonts w:eastAsia="" w:cs="Times New Roman" w:eastAsiaTheme="majorEastAsia" w:ascii="Times New Roman" w:hAnsi="Times New Roman"/>
          <w:b/>
          <w:sz w:val="24"/>
          <w:szCs w:val="24"/>
          <w:lang w:eastAsia="en-US" w:bidi="en-US"/>
        </w:rPr>
      </w:r>
    </w:p>
    <w:p>
      <w:pPr>
        <w:pStyle w:val="Normal"/>
        <w:spacing w:lineRule="auto" w:line="240" w:before="240" w:after="200"/>
        <w:contextualSpacing/>
        <w:jc w:val="center"/>
        <w:rPr>
          <w:rFonts w:ascii="Times New Roman" w:hAnsi="Times New Roman" w:eastAsia="" w:cs="Times New Roman" w:eastAsiaTheme="majorEastAsia"/>
          <w:b/>
          <w:b/>
          <w:sz w:val="24"/>
          <w:szCs w:val="24"/>
          <w:lang w:eastAsia="en-US" w:bidi="en-US"/>
        </w:rPr>
      </w:pPr>
      <w:r>
        <w:rPr>
          <w:rFonts w:eastAsia="" w:cs="Times New Roman" w:eastAsiaTheme="majorEastAsia" w:ascii="Times New Roman" w:hAnsi="Times New Roman"/>
          <w:b/>
          <w:sz w:val="24"/>
          <w:szCs w:val="24"/>
          <w:lang w:eastAsia="en-US" w:bidi="en-US"/>
        </w:rPr>
      </w:r>
    </w:p>
    <w:p>
      <w:pPr>
        <w:pStyle w:val="Normal"/>
        <w:spacing w:lineRule="auto" w:line="240" w:before="240" w:after="200"/>
        <w:contextualSpacing/>
        <w:jc w:val="center"/>
        <w:rPr>
          <w:rFonts w:ascii="Times New Roman" w:hAnsi="Times New Roman" w:eastAsia="" w:cs="Times New Roman" w:eastAsiaTheme="majorEastAsia"/>
          <w:b/>
          <w:b/>
          <w:sz w:val="24"/>
          <w:szCs w:val="24"/>
          <w:lang w:eastAsia="en-US" w:bidi="en-US"/>
        </w:rPr>
      </w:pPr>
      <w:r>
        <w:rPr>
          <w:rFonts w:eastAsia="" w:cs="Times New Roman" w:ascii="Times New Roman" w:hAnsi="Times New Roman" w:eastAsiaTheme="majorEastAsia"/>
          <w:b/>
          <w:sz w:val="24"/>
          <w:szCs w:val="24"/>
          <w:lang w:eastAsia="en-US" w:bidi="en-US"/>
        </w:rPr>
        <w:t>Рис. 19. Схема располжения кадастровых районов</w:t>
      </w:r>
    </w:p>
    <w:p>
      <w:pPr>
        <w:pStyle w:val="Normal"/>
        <w:tabs>
          <w:tab w:val="clear" w:pos="708"/>
          <w:tab w:val="left" w:pos="4065" w:leader="none"/>
        </w:tabs>
        <w:spacing w:lineRule="auto" w:line="240" w:before="0" w:after="200"/>
        <w:contextualSpacing/>
        <w:rPr>
          <w:rFonts w:ascii="Times New Roman" w:hAnsi="Times New Roman" w:eastAsia="" w:cs="Times New Roman" w:eastAsiaTheme="majorEastAsia"/>
          <w:b/>
          <w:b/>
          <w:sz w:val="24"/>
          <w:szCs w:val="24"/>
          <w:lang w:eastAsia="en-US" w:bidi="en-US"/>
        </w:rPr>
      </w:pPr>
      <w:r>
        <w:rPr>
          <w:rFonts w:eastAsia="" w:cs="Times New Roman" w:ascii="Times New Roman" w:hAnsi="Times New Roman" w:eastAsiaTheme="majorEastAsia"/>
          <w:b/>
          <w:sz w:val="24"/>
          <w:szCs w:val="24"/>
          <w:lang w:eastAsia="en-US" w:bidi="en-US"/>
        </w:rPr>
        <w:tab/>
      </w:r>
    </w:p>
    <w:p>
      <w:pPr>
        <w:pStyle w:val="Normal"/>
        <w:spacing w:lineRule="auto" w:line="240" w:before="0" w:after="200"/>
        <w:contextualSpacing/>
        <w:jc w:val="center"/>
        <w:rPr>
          <w:rFonts w:ascii="Times New Roman" w:hAnsi="Times New Roman" w:eastAsia="" w:cs="Times New Roman" w:eastAsiaTheme="majorEastAsia"/>
          <w:color w:val="000000"/>
          <w:lang w:eastAsia="en-US" w:bidi="en-US"/>
        </w:rPr>
      </w:pPr>
      <w:r>
        <w:rPr>
          <w:rFonts w:eastAsia="" w:cs="Times New Roman" w:ascii="Times New Roman" w:hAnsi="Times New Roman" w:eastAsiaTheme="majorEastAsia"/>
          <w:b/>
          <w:sz w:val="28"/>
          <w:szCs w:val="28"/>
          <w:lang w:eastAsia="en-US" w:bidi="en-US"/>
        </w:rPr>
        <w:t>3.1.2. Организация ведения государственного кадастра недвижимости</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Работа по созданию и развитию системы государственного кадастра недвижимости велась в соответствии с мероприятиями федеральной целевой программы «О реализации мероприятий подпрограммы «Создание системы кадастра недвижимости (2006 – 2011 годы)» федеральной целевой программы «Создание автоматизированной системы ведения государственного земельного кадастра и государственного учета объектов недвижимости (2002 – 2008 годы)». </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В целях исполнения основных мероприятий вышеуказанного приказа, Федерального закона от 24.07.2007 № 221-ФЗ «О государственном кадастре недвижимости» и обеспечения единой координатной основы на территории Приморского края согласно постановлению правительства Российской Федерации от 03 марта 2007 года № 139 «Об утверждении правил установления местных систем координат», приказу Федерального агентства кадастра объектов недвижимости от 18.06.2007 № </w:t>
      </w:r>
      <w:r>
        <w:rPr>
          <w:rFonts w:cs="Times New Roman" w:ascii="Times New Roman" w:hAnsi="Times New Roman"/>
          <w:sz w:val="28"/>
          <w:szCs w:val="28"/>
        </w:rPr>
        <w:t>П</w:t>
      </w:r>
      <w:r>
        <w:rPr>
          <w:rFonts w:eastAsia="Times New Roman" w:cs="Times New Roman" w:ascii="Times New Roman" w:hAnsi="Times New Roman"/>
          <w:sz w:val="28"/>
          <w:szCs w:val="28"/>
        </w:rPr>
        <w:t>/0137 «Об утверждении положения о местных системах координат Роснедвижимости на субъекты Российской Федерации» 22.06.2011 года, ФБУ «Кадастровая палата» по Приморскому краю ввела на территории Приморского края единую систему координат МСК-25.</w:t>
      </w:r>
    </w:p>
    <w:p>
      <w:pPr>
        <w:pStyle w:val="Normal"/>
        <w:spacing w:lineRule="auto" w:line="240" w:before="0" w:after="12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В 2016 г. общая численность сотрудников, осуществляющих прием документов от заявителей, необходимых для осуществления государственного кадастрового учета, составляла 50 человек, осуществляющих выдачу документов и сведений государственного кадастра недвижимости – 36 человек.</w:t>
      </w:r>
    </w:p>
    <w:tbl>
      <w:tblPr>
        <w:tblpPr w:bottomFromText="0" w:horzAnchor="text" w:leftFromText="180" w:rightFromText="180" w:tblpX="0" w:tblpY="70" w:topFromText="0" w:vertAnchor="text"/>
        <w:tblW w:w="9570"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2390"/>
        <w:gridCol w:w="2394"/>
        <w:gridCol w:w="2393"/>
        <w:gridCol w:w="2392"/>
      </w:tblGrid>
      <w:tr>
        <w:trPr>
          <w:trHeight w:val="416" w:hRule="atLeast"/>
        </w:trPr>
        <w:tc>
          <w:tcPr>
            <w:tcW w:w="9569"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Время приема заявителей</w:t>
            </w:r>
          </w:p>
        </w:tc>
      </w:tr>
      <w:tr>
        <w:trPr/>
        <w:tc>
          <w:tcPr>
            <w:tcW w:w="239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Количество дней                в неделю</w:t>
            </w:r>
          </w:p>
        </w:tc>
        <w:tc>
          <w:tcPr>
            <w:tcW w:w="239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Количество часов           в день</w:t>
            </w:r>
          </w:p>
        </w:tc>
        <w:tc>
          <w:tcPr>
            <w:tcW w:w="478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Прием одного заявителя                         (одного заявления, одного запроса)</w:t>
            </w:r>
          </w:p>
        </w:tc>
      </w:tr>
      <w:tr>
        <w:trPr/>
        <w:tc>
          <w:tcPr>
            <w:tcW w:w="239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39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Минимальное время</w:t>
            </w:r>
          </w:p>
        </w:tc>
        <w:tc>
          <w:tcPr>
            <w:tcW w:w="23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Максимальное время</w:t>
            </w:r>
          </w:p>
        </w:tc>
      </w:tr>
      <w:tr>
        <w:trPr/>
        <w:tc>
          <w:tcPr>
            <w:tcW w:w="23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5</w:t>
            </w:r>
          </w:p>
        </w:tc>
        <w:tc>
          <w:tcPr>
            <w:tcW w:w="23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8</w:t>
            </w:r>
          </w:p>
        </w:tc>
        <w:tc>
          <w:tcPr>
            <w:tcW w:w="23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5</w:t>
            </w:r>
          </w:p>
        </w:tc>
        <w:tc>
          <w:tcPr>
            <w:tcW w:w="23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20</w:t>
            </w:r>
          </w:p>
        </w:tc>
      </w:tr>
    </w:tbl>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tbl>
      <w:tblPr>
        <w:tblW w:w="9640" w:type="dxa"/>
        <w:jc w:val="left"/>
        <w:tblInd w:w="-34" w:type="dxa"/>
        <w:tblLayout w:type="fixed"/>
        <w:tblCellMar>
          <w:top w:w="0" w:type="dxa"/>
          <w:left w:w="108" w:type="dxa"/>
          <w:bottom w:w="0" w:type="dxa"/>
          <w:right w:w="108" w:type="dxa"/>
        </w:tblCellMar>
        <w:tblLook w:val="04a0" w:noHBand="0" w:noVBand="1" w:firstColumn="1" w:lastRow="0" w:lastColumn="0" w:firstRow="1"/>
      </w:tblPr>
      <w:tblGrid>
        <w:gridCol w:w="1658"/>
        <w:gridCol w:w="1731"/>
        <w:gridCol w:w="1657"/>
        <w:gridCol w:w="1731"/>
        <w:gridCol w:w="1658"/>
        <w:gridCol w:w="1204"/>
      </w:tblGrid>
      <w:tr>
        <w:trPr>
          <w:trHeight w:val="450" w:hRule="atLeast"/>
        </w:trPr>
        <w:tc>
          <w:tcPr>
            <w:tcW w:w="9639" w:type="dxa"/>
            <w:gridSpan w:val="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Среднее время обработки обращений, мин</w:t>
            </w:r>
          </w:p>
        </w:tc>
      </w:tr>
      <w:tr>
        <w:trPr>
          <w:trHeight w:val="630" w:hRule="atLeast"/>
        </w:trPr>
        <w:tc>
          <w:tcPr>
            <w:tcW w:w="3389"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Запросы о предоставлении сведений ГКН, в том числе, в форме кадастровой выписки, кадастрового паспорта, кадастрового плана территории, копии документа, на основании которого сведения внесены в ГКН</w:t>
            </w:r>
          </w:p>
        </w:tc>
        <w:tc>
          <w:tcPr>
            <w:tcW w:w="3388"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Заявления об осуществлении государственного кадастрового учета, о внесении сведений о ранее учтенном объекте недвижимости, о снятии с учета</w:t>
            </w:r>
          </w:p>
        </w:tc>
        <w:tc>
          <w:tcPr>
            <w:tcW w:w="2862"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Заявления об учете изменений характеристик земельного участка</w:t>
            </w:r>
          </w:p>
        </w:tc>
      </w:tr>
      <w:tr>
        <w:trPr>
          <w:trHeight w:val="517" w:hRule="atLeast"/>
        </w:trPr>
        <w:tc>
          <w:tcPr>
            <w:tcW w:w="3389"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3388"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862"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720" w:hRule="atLeast"/>
        </w:trPr>
        <w:tc>
          <w:tcPr>
            <w:tcW w:w="165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Минимальное время</w:t>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Максимальное время</w:t>
            </w:r>
          </w:p>
        </w:tc>
        <w:tc>
          <w:tcPr>
            <w:tcW w:w="16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Минимальное время</w:t>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Максимальное время</w:t>
            </w:r>
          </w:p>
        </w:tc>
        <w:tc>
          <w:tcPr>
            <w:tcW w:w="16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Минимальное время</w:t>
            </w:r>
          </w:p>
        </w:tc>
        <w:tc>
          <w:tcPr>
            <w:tcW w:w="12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Максимальное время</w:t>
            </w:r>
          </w:p>
        </w:tc>
      </w:tr>
      <w:tr>
        <w:trPr>
          <w:trHeight w:val="525" w:hRule="atLeast"/>
        </w:trPr>
        <w:tc>
          <w:tcPr>
            <w:tcW w:w="165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5 мин.</w:t>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20 мин.</w:t>
            </w:r>
          </w:p>
        </w:tc>
        <w:tc>
          <w:tcPr>
            <w:tcW w:w="16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5 мин.</w:t>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30 мин.</w:t>
            </w:r>
          </w:p>
        </w:tc>
        <w:tc>
          <w:tcPr>
            <w:tcW w:w="16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5 мин.</w:t>
            </w:r>
          </w:p>
        </w:tc>
        <w:tc>
          <w:tcPr>
            <w:tcW w:w="120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25 мин.</w:t>
            </w:r>
          </w:p>
        </w:tc>
      </w:tr>
    </w:tbl>
    <w:p>
      <w:pPr>
        <w:pStyle w:val="Normal"/>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Информация о количестве заявлений о государственном кадастровом учете земельных участков, принятых органом кадастрового учета, а также о количестве запросов о предоставлении сведений государственного кадастра недвижимости представлено в табл. 13</w:t>
      </w:r>
    </w:p>
    <w:p>
      <w:pPr>
        <w:pStyle w:val="Normal"/>
        <w:spacing w:lineRule="auto" w:line="240" w:before="0" w:after="0"/>
        <w:jc w:val="right"/>
        <w:rPr>
          <w:rFonts w:ascii="Times New Roman" w:hAnsi="Times New Roman" w:eastAsia="Times New Roman" w:cs="Times New Roman"/>
          <w:sz w:val="28"/>
          <w:szCs w:val="28"/>
        </w:rPr>
      </w:pPr>
      <w:r>
        <w:rPr>
          <w:rFonts w:eastAsia="Times New Roman" w:cs="Times New Roman" w:ascii="Times New Roman" w:hAnsi="Times New Roman"/>
          <w:sz w:val="28"/>
          <w:szCs w:val="28"/>
        </w:rPr>
        <w:t>Таблица 13</w:t>
      </w:r>
    </w:p>
    <w:tbl>
      <w:tblPr>
        <w:tblW w:w="9537" w:type="dxa"/>
        <w:jc w:val="left"/>
        <w:tblInd w:w="0" w:type="dxa"/>
        <w:tblLayout w:type="fixed"/>
        <w:tblCellMar>
          <w:top w:w="0" w:type="dxa"/>
          <w:left w:w="108" w:type="dxa"/>
          <w:bottom w:w="0" w:type="dxa"/>
          <w:right w:w="108" w:type="dxa"/>
        </w:tblCellMar>
        <w:tblLook w:val="0000" w:noHBand="0" w:noVBand="0" w:firstColumn="0" w:lastRow="0" w:lastColumn="0" w:firstRow="0"/>
      </w:tblPr>
      <w:tblGrid>
        <w:gridCol w:w="1578"/>
        <w:gridCol w:w="2026"/>
        <w:gridCol w:w="1891"/>
        <w:gridCol w:w="1988"/>
        <w:gridCol w:w="2054"/>
      </w:tblGrid>
      <w:tr>
        <w:trPr>
          <w:trHeight w:val="706" w:hRule="atLeast"/>
        </w:trPr>
        <w:tc>
          <w:tcPr>
            <w:tcW w:w="157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t>Месяц</w:t>
            </w:r>
          </w:p>
        </w:tc>
        <w:tc>
          <w:tcPr>
            <w:tcW w:w="3917"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t>Количество заявлений о государственном кадастровом учете объектов недвижимости, принятых органом кадастрового учета, ед.</w:t>
            </w:r>
          </w:p>
        </w:tc>
        <w:tc>
          <w:tcPr>
            <w:tcW w:w="404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t>Количество запросов о предоставлении сведений государственного кадастра недвижимости, принятых органом кадастрового учета, ед.</w:t>
            </w:r>
          </w:p>
        </w:tc>
      </w:tr>
      <w:tr>
        <w:trPr>
          <w:trHeight w:val="94" w:hRule="atLeast"/>
        </w:trPr>
        <w:tc>
          <w:tcPr>
            <w:tcW w:w="1578"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r>
          </w:p>
        </w:tc>
        <w:tc>
          <w:tcPr>
            <w:tcW w:w="2026"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t>в виде бумажного документа</w:t>
            </w:r>
          </w:p>
        </w:tc>
        <w:tc>
          <w:tcPr>
            <w:tcW w:w="1891"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t>в виде электронного документа</w:t>
            </w:r>
          </w:p>
        </w:tc>
        <w:tc>
          <w:tcPr>
            <w:tcW w:w="1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t>в виде бумажного документа</w:t>
            </w:r>
          </w:p>
        </w:tc>
        <w:tc>
          <w:tcPr>
            <w:tcW w:w="205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t>в виде электронного документа</w:t>
            </w:r>
          </w:p>
        </w:tc>
      </w:tr>
      <w:tr>
        <w:trPr>
          <w:trHeight w:val="255" w:hRule="atLeast"/>
        </w:trPr>
        <w:tc>
          <w:tcPr>
            <w:tcW w:w="1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i/>
                <w:i/>
                <w:color w:val="000000"/>
                <w:sz w:val="18"/>
                <w:szCs w:val="18"/>
              </w:rPr>
            </w:pPr>
            <w:r>
              <w:rPr>
                <w:rFonts w:eastAsia="Times New Roman" w:cs="Times New Roman" w:ascii="Times New Roman" w:hAnsi="Times New Roman"/>
                <w:b/>
                <w:i/>
                <w:color w:val="000000"/>
                <w:sz w:val="18"/>
                <w:szCs w:val="18"/>
              </w:rPr>
              <w:t>1</w:t>
            </w:r>
          </w:p>
        </w:tc>
        <w:tc>
          <w:tcPr>
            <w:tcW w:w="2026"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i/>
                <w:i/>
                <w:color w:val="000000"/>
                <w:sz w:val="18"/>
                <w:szCs w:val="18"/>
              </w:rPr>
            </w:pPr>
            <w:r>
              <w:rPr>
                <w:rFonts w:eastAsia="Times New Roman" w:cs="Times New Roman" w:ascii="Times New Roman" w:hAnsi="Times New Roman"/>
                <w:b/>
                <w:i/>
                <w:color w:val="000000"/>
                <w:sz w:val="18"/>
                <w:szCs w:val="18"/>
              </w:rPr>
              <w:t>2</w:t>
            </w:r>
          </w:p>
        </w:tc>
        <w:tc>
          <w:tcPr>
            <w:tcW w:w="1891"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i/>
                <w:i/>
                <w:color w:val="000000"/>
                <w:sz w:val="18"/>
                <w:szCs w:val="18"/>
              </w:rPr>
            </w:pPr>
            <w:r>
              <w:rPr>
                <w:rFonts w:eastAsia="Times New Roman" w:cs="Times New Roman" w:ascii="Times New Roman" w:hAnsi="Times New Roman"/>
                <w:b/>
                <w:i/>
                <w:color w:val="000000"/>
                <w:sz w:val="18"/>
                <w:szCs w:val="18"/>
              </w:rPr>
              <w:t>3</w:t>
            </w:r>
          </w:p>
        </w:tc>
        <w:tc>
          <w:tcPr>
            <w:tcW w:w="198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i/>
                <w:i/>
                <w:color w:val="000000"/>
                <w:sz w:val="18"/>
                <w:szCs w:val="18"/>
              </w:rPr>
            </w:pPr>
            <w:r>
              <w:rPr>
                <w:rFonts w:eastAsia="Times New Roman" w:cs="Times New Roman" w:ascii="Times New Roman" w:hAnsi="Times New Roman"/>
                <w:b/>
                <w:i/>
                <w:color w:val="000000"/>
                <w:sz w:val="18"/>
                <w:szCs w:val="18"/>
              </w:rPr>
              <w:t>4</w:t>
            </w:r>
          </w:p>
        </w:tc>
        <w:tc>
          <w:tcPr>
            <w:tcW w:w="20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i/>
                <w:i/>
                <w:color w:val="000000"/>
                <w:sz w:val="18"/>
                <w:szCs w:val="18"/>
              </w:rPr>
            </w:pPr>
            <w:r>
              <w:rPr>
                <w:rFonts w:eastAsia="Times New Roman" w:cs="Times New Roman" w:ascii="Times New Roman" w:hAnsi="Times New Roman"/>
                <w:b/>
                <w:i/>
                <w:color w:val="000000"/>
                <w:sz w:val="18"/>
                <w:szCs w:val="18"/>
              </w:rPr>
              <w:t>5</w:t>
            </w:r>
          </w:p>
        </w:tc>
      </w:tr>
      <w:tr>
        <w:trPr>
          <w:trHeight w:val="255" w:hRule="atLeast"/>
        </w:trPr>
        <w:tc>
          <w:tcPr>
            <w:tcW w:w="1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январь</w:t>
            </w:r>
          </w:p>
        </w:tc>
        <w:tc>
          <w:tcPr>
            <w:tcW w:w="2026"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1946</w:t>
            </w:r>
          </w:p>
        </w:tc>
        <w:tc>
          <w:tcPr>
            <w:tcW w:w="1891"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771</w:t>
            </w:r>
          </w:p>
        </w:tc>
        <w:tc>
          <w:tcPr>
            <w:tcW w:w="1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3242</w:t>
            </w:r>
          </w:p>
        </w:tc>
        <w:tc>
          <w:tcPr>
            <w:tcW w:w="205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4305</w:t>
            </w:r>
          </w:p>
        </w:tc>
      </w:tr>
      <w:tr>
        <w:trPr>
          <w:trHeight w:val="255" w:hRule="atLeast"/>
        </w:trPr>
        <w:tc>
          <w:tcPr>
            <w:tcW w:w="1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февраль</w:t>
            </w:r>
          </w:p>
        </w:tc>
        <w:tc>
          <w:tcPr>
            <w:tcW w:w="2026"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2632</w:t>
            </w:r>
          </w:p>
        </w:tc>
        <w:tc>
          <w:tcPr>
            <w:tcW w:w="1891"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1034</w:t>
            </w:r>
          </w:p>
        </w:tc>
        <w:tc>
          <w:tcPr>
            <w:tcW w:w="1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6307</w:t>
            </w:r>
          </w:p>
        </w:tc>
        <w:tc>
          <w:tcPr>
            <w:tcW w:w="205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7740</w:t>
            </w:r>
          </w:p>
        </w:tc>
      </w:tr>
      <w:tr>
        <w:trPr>
          <w:trHeight w:val="255" w:hRule="atLeast"/>
        </w:trPr>
        <w:tc>
          <w:tcPr>
            <w:tcW w:w="1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март</w:t>
            </w:r>
          </w:p>
        </w:tc>
        <w:tc>
          <w:tcPr>
            <w:tcW w:w="2026"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3060</w:t>
            </w:r>
          </w:p>
        </w:tc>
        <w:tc>
          <w:tcPr>
            <w:tcW w:w="1891"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936</w:t>
            </w:r>
          </w:p>
        </w:tc>
        <w:tc>
          <w:tcPr>
            <w:tcW w:w="1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6900</w:t>
            </w:r>
          </w:p>
        </w:tc>
        <w:tc>
          <w:tcPr>
            <w:tcW w:w="205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8753</w:t>
            </w:r>
          </w:p>
        </w:tc>
      </w:tr>
      <w:tr>
        <w:trPr>
          <w:trHeight w:val="255" w:hRule="atLeast"/>
        </w:trPr>
        <w:tc>
          <w:tcPr>
            <w:tcW w:w="1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апрель</w:t>
            </w:r>
          </w:p>
        </w:tc>
        <w:tc>
          <w:tcPr>
            <w:tcW w:w="2026"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3043</w:t>
            </w:r>
          </w:p>
        </w:tc>
        <w:tc>
          <w:tcPr>
            <w:tcW w:w="1891"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898</w:t>
            </w:r>
          </w:p>
        </w:tc>
        <w:tc>
          <w:tcPr>
            <w:tcW w:w="1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5408</w:t>
            </w:r>
          </w:p>
        </w:tc>
        <w:tc>
          <w:tcPr>
            <w:tcW w:w="205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7544</w:t>
            </w:r>
          </w:p>
        </w:tc>
      </w:tr>
      <w:tr>
        <w:trPr>
          <w:trHeight w:val="255" w:hRule="atLeast"/>
        </w:trPr>
        <w:tc>
          <w:tcPr>
            <w:tcW w:w="1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май</w:t>
            </w:r>
          </w:p>
        </w:tc>
        <w:tc>
          <w:tcPr>
            <w:tcW w:w="2026"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2803</w:t>
            </w:r>
          </w:p>
        </w:tc>
        <w:tc>
          <w:tcPr>
            <w:tcW w:w="1891"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947</w:t>
            </w:r>
          </w:p>
        </w:tc>
        <w:tc>
          <w:tcPr>
            <w:tcW w:w="1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4433</w:t>
            </w:r>
          </w:p>
        </w:tc>
        <w:tc>
          <w:tcPr>
            <w:tcW w:w="205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7318</w:t>
            </w:r>
          </w:p>
        </w:tc>
      </w:tr>
      <w:tr>
        <w:trPr>
          <w:trHeight w:val="255" w:hRule="atLeast"/>
        </w:trPr>
        <w:tc>
          <w:tcPr>
            <w:tcW w:w="1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июнь</w:t>
            </w:r>
          </w:p>
        </w:tc>
        <w:tc>
          <w:tcPr>
            <w:tcW w:w="2026"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3465</w:t>
            </w:r>
          </w:p>
        </w:tc>
        <w:tc>
          <w:tcPr>
            <w:tcW w:w="1891"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1048</w:t>
            </w:r>
          </w:p>
        </w:tc>
        <w:tc>
          <w:tcPr>
            <w:tcW w:w="19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5290</w:t>
            </w:r>
          </w:p>
        </w:tc>
        <w:tc>
          <w:tcPr>
            <w:tcW w:w="2054"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8607</w:t>
            </w:r>
          </w:p>
        </w:tc>
      </w:tr>
      <w:tr>
        <w:trPr>
          <w:trHeight w:val="255" w:hRule="atLeast"/>
        </w:trPr>
        <w:tc>
          <w:tcPr>
            <w:tcW w:w="1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июль</w:t>
            </w:r>
          </w:p>
        </w:tc>
        <w:tc>
          <w:tcPr>
            <w:tcW w:w="2026"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3114</w:t>
            </w:r>
          </w:p>
        </w:tc>
        <w:tc>
          <w:tcPr>
            <w:tcW w:w="1891"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1437</w:t>
            </w:r>
          </w:p>
        </w:tc>
        <w:tc>
          <w:tcPr>
            <w:tcW w:w="1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4287</w:t>
            </w:r>
          </w:p>
        </w:tc>
        <w:tc>
          <w:tcPr>
            <w:tcW w:w="205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6702</w:t>
            </w:r>
          </w:p>
        </w:tc>
      </w:tr>
      <w:tr>
        <w:trPr>
          <w:trHeight w:val="255" w:hRule="atLeast"/>
        </w:trPr>
        <w:tc>
          <w:tcPr>
            <w:tcW w:w="1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август</w:t>
            </w:r>
          </w:p>
        </w:tc>
        <w:tc>
          <w:tcPr>
            <w:tcW w:w="2026"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3080</w:t>
            </w:r>
          </w:p>
        </w:tc>
        <w:tc>
          <w:tcPr>
            <w:tcW w:w="1891"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1062</w:t>
            </w:r>
          </w:p>
        </w:tc>
        <w:tc>
          <w:tcPr>
            <w:tcW w:w="1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3930</w:t>
            </w:r>
          </w:p>
        </w:tc>
        <w:tc>
          <w:tcPr>
            <w:tcW w:w="205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6577</w:t>
            </w:r>
          </w:p>
        </w:tc>
      </w:tr>
      <w:tr>
        <w:trPr>
          <w:trHeight w:val="255" w:hRule="atLeast"/>
        </w:trPr>
        <w:tc>
          <w:tcPr>
            <w:tcW w:w="1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сентябрь</w:t>
            </w:r>
          </w:p>
        </w:tc>
        <w:tc>
          <w:tcPr>
            <w:tcW w:w="2026"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3122</w:t>
            </w:r>
          </w:p>
        </w:tc>
        <w:tc>
          <w:tcPr>
            <w:tcW w:w="1891"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1164</w:t>
            </w:r>
          </w:p>
        </w:tc>
        <w:tc>
          <w:tcPr>
            <w:tcW w:w="1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3870</w:t>
            </w:r>
          </w:p>
        </w:tc>
        <w:tc>
          <w:tcPr>
            <w:tcW w:w="205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7621</w:t>
            </w:r>
          </w:p>
        </w:tc>
      </w:tr>
      <w:tr>
        <w:trPr>
          <w:trHeight w:val="255" w:hRule="atLeast"/>
        </w:trPr>
        <w:tc>
          <w:tcPr>
            <w:tcW w:w="1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октябрь</w:t>
            </w:r>
          </w:p>
        </w:tc>
        <w:tc>
          <w:tcPr>
            <w:tcW w:w="2026"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3718</w:t>
            </w:r>
          </w:p>
        </w:tc>
        <w:tc>
          <w:tcPr>
            <w:tcW w:w="1891"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1153</w:t>
            </w:r>
          </w:p>
        </w:tc>
        <w:tc>
          <w:tcPr>
            <w:tcW w:w="19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4982</w:t>
            </w:r>
          </w:p>
        </w:tc>
        <w:tc>
          <w:tcPr>
            <w:tcW w:w="2054"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10687</w:t>
            </w:r>
          </w:p>
        </w:tc>
      </w:tr>
      <w:tr>
        <w:trPr>
          <w:trHeight w:val="255" w:hRule="atLeast"/>
        </w:trPr>
        <w:tc>
          <w:tcPr>
            <w:tcW w:w="1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ноябрь</w:t>
            </w:r>
          </w:p>
        </w:tc>
        <w:tc>
          <w:tcPr>
            <w:tcW w:w="2026"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3983</w:t>
            </w:r>
          </w:p>
        </w:tc>
        <w:tc>
          <w:tcPr>
            <w:tcW w:w="1891"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1278</w:t>
            </w:r>
          </w:p>
        </w:tc>
        <w:tc>
          <w:tcPr>
            <w:tcW w:w="1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7368</w:t>
            </w:r>
          </w:p>
        </w:tc>
        <w:tc>
          <w:tcPr>
            <w:tcW w:w="205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9868</w:t>
            </w:r>
          </w:p>
        </w:tc>
      </w:tr>
      <w:tr>
        <w:trPr>
          <w:trHeight w:val="255" w:hRule="atLeast"/>
        </w:trPr>
        <w:tc>
          <w:tcPr>
            <w:tcW w:w="15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декабрь</w:t>
            </w:r>
          </w:p>
        </w:tc>
        <w:tc>
          <w:tcPr>
            <w:tcW w:w="2026"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5318</w:t>
            </w:r>
          </w:p>
        </w:tc>
        <w:tc>
          <w:tcPr>
            <w:tcW w:w="1891" w:type="dxa"/>
            <w:tcBorders>
              <w:top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1593</w:t>
            </w:r>
          </w:p>
        </w:tc>
        <w:tc>
          <w:tcPr>
            <w:tcW w:w="19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5406</w:t>
            </w:r>
          </w:p>
        </w:tc>
        <w:tc>
          <w:tcPr>
            <w:tcW w:w="20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7368</w:t>
            </w:r>
          </w:p>
        </w:tc>
      </w:tr>
      <w:tr>
        <w:trPr>
          <w:trHeight w:val="255" w:hRule="atLeast"/>
        </w:trPr>
        <w:tc>
          <w:tcPr>
            <w:tcW w:w="157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t>Итого:</w:t>
            </w:r>
          </w:p>
        </w:tc>
        <w:tc>
          <w:tcPr>
            <w:tcW w:w="2026"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sz w:val="28"/>
                <w:szCs w:val="28"/>
              </w:rPr>
            </w:pPr>
            <w:r>
              <w:rPr>
                <w:rFonts w:eastAsia="Times New Roman" w:cs="Times New Roman" w:ascii="Times New Roman" w:hAnsi="Times New Roman"/>
                <w:b/>
                <w:bCs/>
                <w:sz w:val="28"/>
                <w:szCs w:val="28"/>
              </w:rPr>
              <w:t>39284</w:t>
            </w:r>
          </w:p>
        </w:tc>
        <w:tc>
          <w:tcPr>
            <w:tcW w:w="1891"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sz w:val="28"/>
                <w:szCs w:val="28"/>
              </w:rPr>
            </w:pPr>
            <w:r>
              <w:rPr>
                <w:rFonts w:eastAsia="Times New Roman" w:cs="Times New Roman" w:ascii="Times New Roman" w:hAnsi="Times New Roman"/>
                <w:b/>
                <w:bCs/>
                <w:sz w:val="28"/>
                <w:szCs w:val="28"/>
              </w:rPr>
              <w:t>13321</w:t>
            </w:r>
          </w:p>
        </w:tc>
        <w:tc>
          <w:tcPr>
            <w:tcW w:w="1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sz w:val="28"/>
                <w:szCs w:val="28"/>
              </w:rPr>
            </w:pPr>
            <w:r>
              <w:rPr>
                <w:rFonts w:eastAsia="Times New Roman" w:cs="Times New Roman" w:ascii="Times New Roman" w:hAnsi="Times New Roman"/>
                <w:b/>
                <w:bCs/>
                <w:sz w:val="28"/>
                <w:szCs w:val="28"/>
              </w:rPr>
              <w:t>61423</w:t>
            </w:r>
          </w:p>
        </w:tc>
        <w:tc>
          <w:tcPr>
            <w:tcW w:w="20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sz w:val="28"/>
                <w:szCs w:val="28"/>
              </w:rPr>
            </w:pPr>
            <w:r>
              <w:rPr>
                <w:rFonts w:eastAsia="Times New Roman" w:cs="Times New Roman" w:ascii="Times New Roman" w:hAnsi="Times New Roman"/>
                <w:b/>
                <w:bCs/>
                <w:sz w:val="28"/>
                <w:szCs w:val="28"/>
              </w:rPr>
              <w:t>93090</w:t>
            </w:r>
          </w:p>
        </w:tc>
      </w:tr>
      <w:tr>
        <w:trPr>
          <w:trHeight w:val="255" w:hRule="atLeast"/>
        </w:trPr>
        <w:tc>
          <w:tcPr>
            <w:tcW w:w="1578"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tc>
        <w:tc>
          <w:tcPr>
            <w:tcW w:w="3917"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sz w:val="28"/>
                <w:szCs w:val="28"/>
              </w:rPr>
            </w:pPr>
            <w:r>
              <w:rPr>
                <w:rFonts w:eastAsia="Times New Roman" w:cs="Times New Roman" w:ascii="Times New Roman" w:hAnsi="Times New Roman"/>
                <w:b/>
                <w:bCs/>
                <w:sz w:val="28"/>
                <w:szCs w:val="28"/>
              </w:rPr>
              <w:t>52605</w:t>
            </w:r>
          </w:p>
        </w:tc>
        <w:tc>
          <w:tcPr>
            <w:tcW w:w="404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sz w:val="28"/>
                <w:szCs w:val="28"/>
              </w:rPr>
            </w:pPr>
            <w:r>
              <w:rPr>
                <w:rFonts w:eastAsia="Times New Roman" w:cs="Times New Roman" w:ascii="Times New Roman" w:hAnsi="Times New Roman"/>
                <w:b/>
                <w:bCs/>
                <w:sz w:val="28"/>
                <w:szCs w:val="28"/>
              </w:rPr>
              <w:t>154513</w:t>
            </w:r>
          </w:p>
        </w:tc>
      </w:tr>
    </w:tbl>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Всего за 2016 год органом кадастрового учета было принято 52 605  заявлений о кадастровом учете и 154 513 запросов о предоставлении сведений о земельных участках, содержащихся в государственном кадастре недвижимости. </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Количество земельных участков, в отношении которых органом кадастрового учета в 2016 году приняты соответствующие решения о постановке на государственный кадастровый учет, о внесении ранее учтенных земельных участков, об учете изменений количественных и качественных характеристик, о снятии с кадастрового учета, об исправлении ошибок составило 95 237.</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Количество отказов в проведении государственного кадастрового учета составило 9 902 единицы.</w:t>
      </w:r>
    </w:p>
    <w:p>
      <w:pPr>
        <w:pStyle w:val="Normal"/>
        <w:spacing w:lineRule="auto" w:line="240" w:before="0" w:after="0"/>
        <w:jc w:val="both"/>
        <w:rPr>
          <w:rFonts w:ascii="Times New Roman" w:hAnsi="Times New Roman" w:cs="Times New Roman"/>
          <w:sz w:val="28"/>
          <w:szCs w:val="28"/>
        </w:rPr>
      </w:pPr>
      <w:r>
        <w:rPr>
          <w:rFonts w:eastAsia="Times New Roman" w:cs="Times New Roman" w:ascii="Times New Roman" w:hAnsi="Times New Roman"/>
          <w:sz w:val="28"/>
          <w:szCs w:val="28"/>
        </w:rPr>
        <w:t xml:space="preserve">Сводная информация о работах по государственному кадастровому учету в Приморском крае в 2016 году приведена в </w:t>
      </w:r>
      <w:r>
        <w:rPr>
          <w:rFonts w:cs="Times New Roman" w:ascii="Times New Roman" w:hAnsi="Times New Roman"/>
          <w:sz w:val="28"/>
          <w:szCs w:val="28"/>
        </w:rPr>
        <w:t>приложении 6.</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В предоставлении сведений государственного кадастра недвижимости отказов нет.</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sz w:val="28"/>
          <w:szCs w:val="28"/>
        </w:rPr>
        <w:t>Причины возникновения обстоятельств, обусловивших принятие решений об отказе</w:t>
      </w:r>
      <w:r>
        <w:rPr>
          <w:rFonts w:eastAsia="Times New Roman" w:cs="Times New Roman" w:ascii="Times New Roman" w:hAnsi="Times New Roman"/>
          <w:color w:val="000000"/>
          <w:sz w:val="28"/>
          <w:szCs w:val="28"/>
        </w:rPr>
        <w:t>:</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нежелание кадастровых инженеров при образовании ЗУ придерживаться не только требований ЗК РФ, а также в совокупности требований лесного, водного, градостроительного и других кодексов РФ;</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при формировании межевого плана, отдельно взятые кадастровые инженеры не используют сведения ГКН;</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большинстве своем сведения о территориальных зонах, переданные в ГКН, составлены некорректно, без учета существующих на местности границ объектов недвижимости;</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отсутствие понимания у отдельно взятых кадастровых инженеров нормативно ˗ правовых аспектов картографической и геодезической деятельности;</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color w:val="000000"/>
          <w:sz w:val="28"/>
          <w:szCs w:val="28"/>
          <w:shd w:fill="FFFFFF" w:val="clear"/>
        </w:rPr>
        <w:t>в случае принятия Филиалом решения о приостановлении кадастрового учета, кадастровому инженеру, устранив ошибки, послужившие основанием для принятия такого решения, необходимо направить в орган кадастрового учета заявление о предоставлении дополнительных документов. В свою очередь б</w:t>
      </w:r>
      <w:r>
        <w:rPr>
          <w:rFonts w:eastAsia="Times New Roman" w:cs="Times New Roman" w:ascii="Times New Roman" w:hAnsi="Times New Roman"/>
          <w:sz w:val="28"/>
          <w:szCs w:val="28"/>
        </w:rPr>
        <w:t>ольшинство кадастровых инженеров, пользуясь услугами портала Росреестра и получив решение о приостановлении, отправляют в орган кадастрового учета новое заявление о постановке на учет, когда по истечению срока, установленного Законом о кадастре, по предыдущему заявлению принимается решение об отказе. Таким образом, вместе с количеством решений о приостановлении повышается количество принятых решений об отказе.</w:t>
      </w:r>
    </w:p>
    <w:p>
      <w:pPr>
        <w:pStyle w:val="Normal"/>
        <w:spacing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xml:space="preserve">В 2016 г. в ФГБУ «ФКП Росреестра» по Приморскому краю поступило </w:t>
      </w:r>
      <w:r>
        <w:rPr>
          <w:rFonts w:eastAsia="Times New Roman" w:cs="Times New Roman" w:ascii="Times New Roman" w:hAnsi="Times New Roman"/>
          <w:sz w:val="28"/>
          <w:szCs w:val="28"/>
        </w:rPr>
        <w:t>2175</w:t>
      </w:r>
      <w:r>
        <w:rPr>
          <w:rFonts w:eastAsia="Times New Roman" w:cs="Times New Roman" w:ascii="Times New Roman" w:hAnsi="Times New Roman"/>
          <w:color w:val="000000"/>
          <w:sz w:val="28"/>
          <w:szCs w:val="28"/>
        </w:rPr>
        <w:t xml:space="preserve"> обращений и жалоб граждан. Чаще всего граждане обращались по следующим вопросам:</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получения кадастрового паспорта;</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получения кадастровой справки о кадастровой стоимости;</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аннулирование сведений о правообладателях;</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разъяснение кадастровой стоимости;</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разъяснение информации содержащейся в кадастровом паспорте;</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исправление кадастровых и технических ошибок;</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наложение границ земельных участков.</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Кроме того, в  2016 году основными причинами жалоб являлись:</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нарушение сроков и порядка предоставления государственных услуг;</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оспаривание данных содержащихся в ГКН (категория земель, кадастровые номера, местоположение, кадастровая стоимость);</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неправомерные действия сотрудников, некачественное оказание услуг;</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неправомерное принятие решений «Об отказе в осуществление кадастрового учета», «О приостановлении в осуществлении кадастрового учета».</w:t>
      </w:r>
    </w:p>
    <w:p>
      <w:pPr>
        <w:pStyle w:val="Normal"/>
        <w:spacing w:lineRule="auto" w:line="240" w:before="0" w:after="0"/>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В результате рассмотрения жалоб органом кадастрового учета:</w:t>
      </w:r>
    </w:p>
    <w:p>
      <w:pPr>
        <w:pStyle w:val="Normal"/>
        <w:spacing w:lineRule="auto" w:line="240" w:before="0" w:after="0"/>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запрашивались объяснительные от сотрудников, и по результатам их рассмотрения проведены разъяснения о необходимости неукоснительного соблюдения делового этикета при исполнении служебных обязанностей;</w:t>
      </w:r>
    </w:p>
    <w:p>
      <w:pPr>
        <w:pStyle w:val="Normal"/>
        <w:spacing w:lineRule="auto" w:line="240" w:before="0" w:after="0"/>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создавались выездные комиссии в территориальные отделы по рассмотрению жалоб по существу на местах;</w:t>
      </w:r>
    </w:p>
    <w:p>
      <w:pPr>
        <w:pStyle w:val="Normal"/>
        <w:spacing w:lineRule="auto" w:line="240" w:before="0" w:after="0"/>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разъяснялись  нормы действующего законодательства в соответствии, с которыми органом кадастрового учета выносились решения о приостановлениях и отказах.</w:t>
      </w:r>
    </w:p>
    <w:p>
      <w:pPr>
        <w:pStyle w:val="Normal"/>
        <w:spacing w:lineRule="auto" w:line="240" w:before="0" w:after="0"/>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В 2016 году общее количество судебных споров составило всего 741 дело. По категориям споров можно выделить следующие споры: касающиеся местоположения границ земельных участков,  касающиеся местоположения границ ранее учтенных земельных участков, заявления об установлении кадастровой стоимости земельных участков, заявления об аннулировании/восстановлении земельных участков в ГКН.</w:t>
      </w:r>
    </w:p>
    <w:p>
      <w:pPr>
        <w:pStyle w:val="Normal"/>
        <w:spacing w:lineRule="auto" w:line="240" w:before="0" w:after="0"/>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sz w:val="28"/>
          <w:szCs w:val="28"/>
        </w:rPr>
        <w:t>В 2016 г. наблюдается увеличение судебных споров по кадастровым ошибкам, поскольку в марте 2015 г. в Земельный Кодекс РФ были внесены изменения, а именно с 01.01.2018 г. будет запрещено распоряжаться земельными участками, в отношении которых в ГКН отсутствуют сведения о местоположении границ.</w:t>
      </w:r>
      <w:r>
        <w:rPr>
          <w:rFonts w:eastAsia="Times New Roman" w:cs="Times New Roman" w:ascii="Times New Roman" w:hAnsi="Times New Roman"/>
          <w:color w:val="000000"/>
          <w:sz w:val="28"/>
          <w:szCs w:val="28"/>
        </w:rPr>
        <w:t xml:space="preserve"> Собственники земельных участков в исковых требованиях о кадастровых ошибках привлекают Учреждение в качестве ответчика. Так же наблюдалось увеличение судебных споров,  более 200, о признании права муниципальной собственности на не востребованные земельные доли, за предыдущие года таких исков было не более 5-10 в год.  Наблюдалось увеличение судебных споров, более 100, о признании права собственности на гаражные боксы, за предыдущие года таких исков было не более 4-9 в год,  и увеличение судебных споров, более 150, о признании двух трехквартирных (многоквартирных индивидуальных домов) домами блокированной застройки, за предыдущие года таких исков было не более 3-5 в год.</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Всего в 2016 года обжаловано 48 отказов органа кадастрового учета в осуществлении учета. Удовлетворено 22 заявления об обжаловании отказов в осуществлении кадастрового учета. Основными причинами признания решений незаконными являлись неправильное применение органом кадастрового учета статей Федерального закона от 24.07.2007 № 221-ФЗ «О государственном кадастре недвижимости» (далее – Закон о кадастре), а именно при наличии оснований для отказа в осуществлении учета, применялись некорректные для данного случая части статьи 27 соответствующего закона. Основными причинами отказов в осуществлении учета являлись – п.5 ч.2 ст.27, ч.7 ст.27, ч.4 ст.27 Закона о кадастре.</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Также в судебном порядке обжаловано 15 решения о приостановлении учета, удовлетворено 8 заявлений.</w:t>
      </w:r>
    </w:p>
    <w:p>
      <w:pPr>
        <w:pStyle w:val="Normal"/>
        <w:spacing w:lineRule="auto" w:line="240" w:before="0" w:after="0"/>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За 2016 г. с органа кадастрового учета взыскано по судебным расходам 625 375 рублей. Предъявленные к взысканию требования составили сумму 2 245 862 рублей, действиями сотрудников филиала сумма требований была значительно снижена.</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3.1.3. Проведение работ по верификации и нормализации баз данных государственного кадастра недвижимости в кадастровом округе</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В рамках проведения мероприятий по верификации данных государственного кадастра недвижимости за 2016 год органом кадастрового учета подготовлены и направлены запросы в адрес органов местного самоуправления с целью уточнения ряда характеристик (как правило – «категория не определена» и «отсутствует разрешенное использование по документу») на земельные участки, исправление ошибок в которых не представляется возможным. </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«Отсутствие кадастровой стоимости» у земельных участков, как правило, связано с недостаточностью характеристик, необходимых для ее определения и расчета, таких как «категория земель» и «разрешенное использование». Таким образом, у тех земельных участков, у которых вышеуказанные характеристики были уточнены и внесены - кадастровая стоимость была определена и рассчитана. Недостающие сведения вносились объектам недвижимости, как в процессе верификации, так и при получении ответов на запросы, которые направлялись органом кадастрового учета в органы власти и местного самоуправления для уточнения или установления характеристик земельных участков. За 2016 год таким образом была рассчитана кадастровая стоимость для 71 земельного участка. </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«Отсутствие сведений о границах и поворотных точках границ при наличии уточненной площади» - данный вид ошибок включает общее количество выявленных несоответствий в количестве 5121 земельных участков, в отношении которых проведен анализ на выявление и исправление ошибок, а именно: пересечение границ земельных участков с границами других земельных участков, пересечения границ исходных земельных участков с образуемыми. Исправление данного вида ошибки требует больших трудозатрат, а именно: запросов на предоставление кадастровых дел на данные ЗУ, а так же на ЗУ смежных землепользователей, при отсутствии кадастровых дел, необходимы запросы в фонд данных документации полученной в результате землеустройства. За 2016 год приведено в соответствие сведений в отношении 5121 ЗУ.  По всем ЗУ осуществлена верификация данных.</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Технические ошибки, выявленные в результате обработки поступивших заявлений/запросов, исправляются непосредственно в процессе проведения государственного кадастрового учета или предоставления сведений ГКН. За 2016 год, таким образом, исправлено 5342 различных  ошибок. </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 итогам 2016 года органом кадастрового учета подготовлены и направлены запросы в адрес органов местного самоуправления с целью уточнения ряда характеристик (как правило – «категория не определена» и «отсутствует разрешенное использование по документу») на земельные участки, исправление ошибок в которых не представляется возможным. По состоянию на конец года работы по верификации земельных участков завершены, за исключением тех ошибок, исправление которых требует документов от органов местного самоуправления. Количество оставшихся ошибок – 579. Количество направленных в органы государственной власти и местного самоуправления запросов составило 278, полученных на них ответов 278. Внесено на их основании сведений по 263 объектам.</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Информация о проведении работ по верификации и нормализации сведений государственного кадастра недвижимости в Приморском крае в 2016 году приведено в </w:t>
      </w:r>
      <w:r>
        <w:rPr>
          <w:rFonts w:cs="Times New Roman" w:ascii="Times New Roman" w:hAnsi="Times New Roman"/>
          <w:sz w:val="28"/>
          <w:szCs w:val="28"/>
        </w:rPr>
        <w:t>приложении 7.</w:t>
      </w:r>
      <w:r>
        <w:rPr>
          <w:rFonts w:eastAsia="Times New Roman" w:cs="Times New Roman" w:ascii="Times New Roman" w:hAnsi="Times New Roman"/>
          <w:sz w:val="28"/>
          <w:szCs w:val="28"/>
        </w:rPr>
        <w:t xml:space="preserve"> </w:t>
      </w:r>
    </w:p>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ab/>
      </w:r>
    </w:p>
    <w:p>
      <w:pPr>
        <w:pStyle w:val="Normal"/>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t xml:space="preserve">3.2. ГОСУДАРСТВЕННЫЙ МОНИТОРИНГ ЗЕМЕЛЬ </w:t>
      </w:r>
    </w:p>
    <w:p>
      <w:pPr>
        <w:pStyle w:val="Normal"/>
        <w:spacing w:lineRule="auto" w:line="240" w:before="0" w:after="200"/>
        <w:contextualSpacing/>
        <w:jc w:val="center"/>
        <w:rPr>
          <w:rFonts w:ascii="Times New Roman" w:hAnsi="Times New Roman" w:cs="Times New Roman"/>
          <w:b/>
          <w:b/>
          <w:sz w:val="28"/>
          <w:szCs w:val="28"/>
        </w:rPr>
      </w:pPr>
      <w:r>
        <w:rPr>
          <w:rFonts w:cs="Times New Roman" w:ascii="Times New Roman" w:hAnsi="Times New Roman"/>
          <w:b/>
          <w:sz w:val="28"/>
          <w:szCs w:val="28"/>
        </w:rPr>
        <w:t>И ЗЕМЛЕУСТРОЙСТВО</w:t>
      </w:r>
    </w:p>
    <w:p>
      <w:pPr>
        <w:pStyle w:val="Normal"/>
        <w:spacing w:lineRule="auto" w:line="240" w:before="0" w:after="200"/>
        <w:contextualSpacing/>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lineRule="auto" w:line="240"/>
        <w:jc w:val="center"/>
        <w:rPr>
          <w:rFonts w:ascii="Times New Roman" w:hAnsi="Times New Roman" w:cs="Times New Roman"/>
          <w:b/>
          <w:b/>
          <w:sz w:val="28"/>
          <w:szCs w:val="28"/>
        </w:rPr>
      </w:pPr>
      <w:r>
        <w:rPr>
          <w:rFonts w:cs="Times New Roman" w:ascii="Times New Roman" w:hAnsi="Times New Roman"/>
          <w:b/>
          <w:sz w:val="28"/>
          <w:szCs w:val="28"/>
        </w:rPr>
        <w:t>3.2.1. Государственный мониторинг земель</w:t>
      </w:r>
    </w:p>
    <w:p>
      <w:pPr>
        <w:pStyle w:val="Normal"/>
        <w:numPr>
          <w:ilvl w:val="0"/>
          <w:numId w:val="0"/>
        </w:numPr>
        <w:spacing w:lineRule="auto" w:line="240" w:before="0" w:after="0"/>
        <w:jc w:val="both"/>
        <w:outlineLvl w:val="1"/>
        <w:rPr>
          <w:rFonts w:ascii="Times New Roman" w:hAnsi="Times New Roman" w:cs="Times New Roman"/>
          <w:bCs/>
          <w:sz w:val="28"/>
          <w:szCs w:val="28"/>
        </w:rPr>
      </w:pPr>
      <w:r>
        <w:rPr>
          <w:rFonts w:cs="Times New Roman" w:ascii="Times New Roman" w:hAnsi="Times New Roman"/>
          <w:sz w:val="28"/>
          <w:szCs w:val="28"/>
        </w:rPr>
        <w:t>Земельным кодексом Российской Федерации установлено, что г</w:t>
      </w:r>
      <w:r>
        <w:rPr>
          <w:rFonts w:cs="Times New Roman" w:ascii="Times New Roman" w:hAnsi="Times New Roman"/>
          <w:bCs/>
          <w:sz w:val="28"/>
          <w:szCs w:val="28"/>
        </w:rPr>
        <w:t>осударственный мониторинг земель является частью государственного экологического мониторинга (государственного мониторинга окружающей среды) и представляет собой систему наблюдений за состоянием земель. Объектами государственного мониторинга земель являются все земли в Российской Федерации.</w:t>
      </w:r>
    </w:p>
    <w:p>
      <w:pPr>
        <w:pStyle w:val="Normal"/>
        <w:widowControl w:val="false"/>
        <w:spacing w:lineRule="auto" w:line="240" w:before="0" w:after="0"/>
        <w:jc w:val="both"/>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xml:space="preserve">В перечень задач государственного мониторинга земель входят: своевременное выявление изменений состояния земель, оценка этих изменений, прогноз и выработка рекомендаций о предупреждении и об устранении последствий негативных процессов; информационное обеспечение </w:t>
      </w:r>
      <w:r>
        <w:rPr>
          <w:rFonts w:cs="Times New Roman" w:ascii="Times New Roman" w:hAnsi="Times New Roman"/>
          <w:sz w:val="28"/>
          <w:szCs w:val="28"/>
        </w:rPr>
        <w:t xml:space="preserve">органов государственной власти </w:t>
      </w:r>
      <w:r>
        <w:rPr>
          <w:rFonts w:eastAsia="Times New Roman" w:cs="Times New Roman" w:ascii="Times New Roman" w:hAnsi="Times New Roman"/>
          <w:sz w:val="28"/>
          <w:szCs w:val="28"/>
        </w:rPr>
        <w:t>местного самоуправления</w:t>
      </w:r>
      <w:r>
        <w:rPr>
          <w:rFonts w:cs="Times New Roman" w:ascii="Times New Roman" w:hAnsi="Times New Roman"/>
          <w:sz w:val="28"/>
          <w:szCs w:val="28"/>
        </w:rPr>
        <w:t xml:space="preserve"> о состоянии окружающей среды в части состояния земель в целях реализации полномочий данных органов в области земельных отношений, включая реализацию полномочий по государственному земельному надзору</w:t>
      </w:r>
      <w:r>
        <w:rPr>
          <w:rFonts w:eastAsia="Times New Roman" w:cs="Times New Roman" w:ascii="Times New Roman" w:hAnsi="Times New Roman"/>
          <w:bCs/>
          <w:sz w:val="28"/>
          <w:szCs w:val="28"/>
        </w:rPr>
        <w:t>; обеспечение граждан информацией о состоянии окружающей среды в части состояния земель.</w:t>
      </w:r>
    </w:p>
    <w:p>
      <w:pPr>
        <w:pStyle w:val="Normal"/>
        <w:widowControl w:val="false"/>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xml:space="preserve">Реализация Управлением Росреестра по Приморскому краю полномочий по государственному мониторингу земель проводится в соответствии с Приказом Минэкономразвития России от 26.12.2014 № 852 «Об утверждении Порядка осуществления </w:t>
      </w:r>
      <w:r>
        <w:rPr>
          <w:rFonts w:cs="Times New Roman" w:ascii="Times New Roman" w:hAnsi="Times New Roman"/>
          <w:sz w:val="28"/>
          <w:szCs w:val="28"/>
        </w:rPr>
        <w:t xml:space="preserve">государственного мониторинга земель, за исключением земель сельскохозяйственного назначения» (далее - </w:t>
      </w:r>
      <w:r>
        <w:rPr>
          <w:rFonts w:eastAsia="Times New Roman" w:cs="Times New Roman" w:ascii="Times New Roman" w:hAnsi="Times New Roman"/>
          <w:color w:val="000000"/>
          <w:sz w:val="28"/>
          <w:szCs w:val="28"/>
        </w:rPr>
        <w:t>Приказ об осуществлении государственного мониторинга земель)</w:t>
      </w:r>
      <w:r>
        <w:rPr>
          <w:rFonts w:cs="Times New Roman" w:ascii="Times New Roman" w:hAnsi="Times New Roman"/>
          <w:sz w:val="28"/>
          <w:szCs w:val="28"/>
        </w:rPr>
        <w:t>.</w:t>
      </w:r>
    </w:p>
    <w:p>
      <w:pPr>
        <w:pStyle w:val="Normal"/>
        <w:numPr>
          <w:ilvl w:val="0"/>
          <w:numId w:val="0"/>
        </w:numPr>
        <w:spacing w:lineRule="auto" w:line="240" w:before="0" w:after="0"/>
        <w:jc w:val="both"/>
        <w:outlineLvl w:val="1"/>
        <w:rPr>
          <w:rFonts w:ascii="Times New Roman" w:hAnsi="Times New Roman" w:cs="Times New Roman"/>
          <w:bCs/>
          <w:sz w:val="28"/>
          <w:szCs w:val="28"/>
        </w:rPr>
      </w:pPr>
      <w:r>
        <w:rPr>
          <w:rFonts w:cs="Times New Roman" w:ascii="Times New Roman" w:hAnsi="Times New Roman"/>
          <w:bCs/>
          <w:sz w:val="28"/>
          <w:szCs w:val="28"/>
        </w:rPr>
      </w:r>
    </w:p>
    <w:p>
      <w:pPr>
        <w:pStyle w:val="Normal"/>
        <w:numPr>
          <w:ilvl w:val="0"/>
          <w:numId w:val="0"/>
        </w:numPr>
        <w:spacing w:lineRule="auto" w:line="240" w:before="0" w:after="0"/>
        <w:jc w:val="both"/>
        <w:outlineLvl w:val="1"/>
        <w:rPr>
          <w:rFonts w:ascii="Times New Roman" w:hAnsi="Times New Roman" w:cs="Times New Roman"/>
          <w:bCs/>
          <w:sz w:val="28"/>
          <w:szCs w:val="28"/>
        </w:rPr>
      </w:pPr>
      <w:r>
        <w:rPr>
          <w:rFonts w:cs="Times New Roman" w:ascii="Times New Roman" w:hAnsi="Times New Roman"/>
          <w:bCs/>
          <w:sz w:val="28"/>
          <w:szCs w:val="28"/>
        </w:rPr>
      </w:r>
    </w:p>
    <w:p>
      <w:pPr>
        <w:pStyle w:val="Normal"/>
        <w:numPr>
          <w:ilvl w:val="0"/>
          <w:numId w:val="0"/>
        </w:numPr>
        <w:spacing w:lineRule="auto" w:line="240" w:before="0" w:after="0"/>
        <w:jc w:val="both"/>
        <w:outlineLvl w:val="1"/>
        <w:rPr>
          <w:rFonts w:ascii="Times New Roman" w:hAnsi="Times New Roman" w:cs="Times New Roman"/>
          <w:bCs/>
          <w:sz w:val="28"/>
          <w:szCs w:val="28"/>
        </w:rPr>
      </w:pPr>
      <w:r>
        <w:rPr>
          <w:rFonts w:cs="Times New Roman" w:ascii="Times New Roman" w:hAnsi="Times New Roman"/>
          <w:bCs/>
          <w:sz w:val="28"/>
          <w:szCs w:val="28"/>
        </w:rPr>
      </w:r>
    </w:p>
    <w:p>
      <w:pPr>
        <w:pStyle w:val="Normal"/>
        <w:numPr>
          <w:ilvl w:val="0"/>
          <w:numId w:val="0"/>
        </w:numPr>
        <w:spacing w:lineRule="auto" w:line="240" w:before="0" w:after="0"/>
        <w:jc w:val="both"/>
        <w:outlineLvl w:val="1"/>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200"/>
        <w:contextualSpacing/>
        <w:jc w:val="center"/>
        <w:rPr>
          <w:rFonts w:ascii="Times New Roman" w:hAnsi="Times New Roman" w:cs="Times New Roman"/>
          <w:b/>
          <w:b/>
          <w:sz w:val="28"/>
          <w:szCs w:val="28"/>
        </w:rPr>
      </w:pPr>
      <w:r>
        <w:rPr>
          <w:rFonts w:cs="Times New Roman" w:ascii="Times New Roman" w:hAnsi="Times New Roman"/>
          <w:b/>
          <w:sz w:val="28"/>
          <w:szCs w:val="28"/>
        </w:rPr>
        <w:t>3.2.1.1. Выполнение работ по государственному мониторингу земель</w:t>
      </w:r>
    </w:p>
    <w:p>
      <w:pPr>
        <w:pStyle w:val="Normal"/>
        <w:spacing w:lineRule="auto" w:line="240" w:before="0" w:after="200"/>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Актуальность проведения работ по мониторингу земель определяется ухудшением экологического состояния всех объектов природной среды, и земель в частности.</w:t>
      </w:r>
    </w:p>
    <w:p>
      <w:pPr>
        <w:pStyle w:val="Normal"/>
        <w:spacing w:lineRule="auto" w:line="240" w:before="0" w:after="200"/>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Принятию решений, связанных с использованием земель, должен предшествовать анализ разноаспектных, достоверных и регулярно обновляемых данных о состоянии этих земель.</w:t>
      </w:r>
    </w:p>
    <w:p>
      <w:pPr>
        <w:pStyle w:val="Normal"/>
        <w:spacing w:lineRule="auto" w:line="240" w:before="0" w:after="0"/>
        <w:contextualSpacing/>
        <w:jc w:val="both"/>
        <w:rPr>
          <w:rFonts w:ascii="Times New Roman" w:hAnsi="Times New Roman" w:eastAsia="Times New Roman" w:cs="Times New Roman"/>
          <w:sz w:val="28"/>
          <w:szCs w:val="28"/>
          <w:lang w:eastAsia="en-US" w:bidi="en-US"/>
        </w:rPr>
      </w:pPr>
      <w:r>
        <w:rPr>
          <w:rFonts w:eastAsia="Times New Roman" w:cs="Times New Roman" w:ascii="Times New Roman" w:hAnsi="Times New Roman"/>
          <w:sz w:val="28"/>
          <w:szCs w:val="28"/>
          <w:lang w:eastAsia="en-US" w:bidi="en-US"/>
        </w:rPr>
        <w:t xml:space="preserve">В соответствии с </w:t>
      </w:r>
      <w:r>
        <w:rPr>
          <w:rFonts w:eastAsia="Times New Roman" w:cs="Times New Roman" w:ascii="Times New Roman" w:hAnsi="Times New Roman"/>
          <w:color w:val="000000"/>
          <w:sz w:val="28"/>
          <w:szCs w:val="28"/>
          <w:lang w:eastAsia="en-US" w:bidi="en-US"/>
        </w:rPr>
        <w:t>Приказом об осуществлении государственного мониторинга земель</w:t>
      </w:r>
      <w:r>
        <w:rPr>
          <w:rFonts w:eastAsia="Times New Roman" w:cs="Times New Roman" w:ascii="Times New Roman" w:hAnsi="Times New Roman"/>
          <w:sz w:val="28"/>
          <w:szCs w:val="28"/>
          <w:lang w:eastAsia="en-US" w:bidi="en-US"/>
        </w:rPr>
        <w:t xml:space="preserve"> Управлением запрашиваются сведения об использовании и состоянии земельных участков у уполномоченных органов. </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Согласно информации, предоставленной органами исполнительной власти, органами местного самоуправления Приморского края, в 2016 году работы по изучению состояния и использования земель, созданию и обновлению тематических карт состояния и использования земель, разработке схем использования и охраны земель, специальные обследования (почвенные, геоботанические, другие обследования и изыскания) за счет средств бюджетов различных уровней и внебюджетных средств на территории края не проводились.</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2016 году за счет средств бюджета Владивостокского городского округа выполнены работы по ежегодному мониторингу состояния сооружения «Рекультивация полигона ТБО в городе Владивостоке». Стоимость работ составила 1133,42 тыс. рублей.</w:t>
      </w:r>
    </w:p>
    <w:p>
      <w:pPr>
        <w:pStyle w:val="Normal"/>
        <w:spacing w:lineRule="auto" w:line="240" w:before="0" w:after="200"/>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В ходе выполнения государственной функции по государственному мониторингу земель, в частности при составлении ежегодной статистической отчетности, выявлено, что органы местного самоуправления в постановлениях на предоставление или изъятие земельных участков в категории земель сельскохозяйственного назначения не указывают, из какого вида угодий предоставляется или изымается земельный участок. В АИС ГКН также отсутствует информация о видах угодий, входящих в состав земельного участка, поставленного на кадастровый учет. Данное обстоятельство отражается на качестве подготавливаемой отчетности.</w:t>
      </w:r>
    </w:p>
    <w:p>
      <w:pPr>
        <w:pStyle w:val="Normal"/>
        <w:spacing w:lineRule="auto" w:line="240" w:before="0" w:after="200"/>
        <w:contextualSpacing/>
        <w:jc w:val="both"/>
        <w:rPr>
          <w:rFonts w:ascii="Times New Roman" w:hAnsi="Times New Roman" w:eastAsia="Times New Roman" w:cs="Times New Roman"/>
          <w:sz w:val="28"/>
          <w:szCs w:val="28"/>
          <w:lang w:eastAsia="en-US" w:bidi="en-US"/>
        </w:rPr>
      </w:pPr>
      <w:r>
        <w:rPr>
          <w:rFonts w:eastAsia="Times New Roman" w:cs="Times New Roman" w:ascii="Times New Roman" w:hAnsi="Times New Roman"/>
          <w:sz w:val="28"/>
          <w:szCs w:val="28"/>
          <w:lang w:eastAsia="en-US" w:bidi="en-US"/>
        </w:rPr>
        <w:t>В порядке информационного взаимодействия при ведении государственного кадастра недвижимости в 2016 году в Управление поступали документы, принятые департаментом земельных и имущественных отношений Приморского края и органами местного самоуправления края, по вопросам перевода земельных участков из одной категории в другую, которые нашли свое отражение в ежегодном статистическом отчете о наличии и распределении земель в Приморском крае.</w:t>
      </w:r>
    </w:p>
    <w:p>
      <w:pPr>
        <w:pStyle w:val="Normal"/>
        <w:spacing w:lineRule="auto" w:line="240" w:before="0" w:after="200"/>
        <w:contextualSpacing/>
        <w:jc w:val="both"/>
        <w:rPr>
          <w:rFonts w:ascii="Times New Roman" w:hAnsi="Times New Roman" w:eastAsia="" w:cs="Times New Roman" w:eastAsiaTheme="majorEastAsia"/>
          <w:b/>
          <w:b/>
          <w:sz w:val="28"/>
          <w:szCs w:val="28"/>
          <w:lang w:eastAsia="en-US" w:bidi="en-US"/>
        </w:rPr>
      </w:pPr>
      <w:r>
        <w:rPr>
          <w:rFonts w:eastAsia="Times New Roman" w:cs="Times New Roman" w:ascii="Times New Roman" w:hAnsi="Times New Roman"/>
          <w:sz w:val="28"/>
          <w:szCs w:val="28"/>
          <w:lang w:eastAsia="en-US" w:bidi="en-US"/>
        </w:rPr>
        <w:t xml:space="preserve">Отсутствие целевых программ государственного мониторинга земель различного уровня на территории Приморского края влияет на возможность Управления в полном объеме исполнять полномочия, предусмотренные </w:t>
      </w:r>
      <w:r>
        <w:rPr>
          <w:rFonts w:eastAsia="Times New Roman" w:cs="Times New Roman" w:ascii="Times New Roman" w:hAnsi="Times New Roman"/>
          <w:color w:val="000000"/>
          <w:sz w:val="28"/>
          <w:szCs w:val="28"/>
          <w:lang w:eastAsia="en-US" w:bidi="en-US"/>
        </w:rPr>
        <w:t>Приказом об осуществлении государственного мониторинга земель.</w:t>
      </w:r>
    </w:p>
    <w:p>
      <w:pPr>
        <w:pStyle w:val="Normal"/>
        <w:spacing w:lineRule="auto" w:line="240" w:before="0" w:after="0"/>
        <w:contextualSpacing/>
        <w:jc w:val="both"/>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3.2.1.2. Анализ качественного состояния земель</w:t>
      </w:r>
    </w:p>
    <w:p>
      <w:pPr>
        <w:pStyle w:val="Normal"/>
        <w:widowControl w:val="false"/>
        <w:numPr>
          <w:ilvl w:val="0"/>
          <w:numId w:val="0"/>
        </w:numPr>
        <w:spacing w:lineRule="auto" w:line="240" w:before="0" w:after="0"/>
        <w:jc w:val="both"/>
        <w:outlineLvl w:val="0"/>
        <w:rPr>
          <w:rFonts w:ascii="Times New Roman" w:hAnsi="Times New Roman" w:eastAsia="Times New Roman" w:cs="Times New Roman"/>
          <w:sz w:val="28"/>
          <w:szCs w:val="28"/>
        </w:rPr>
      </w:pPr>
      <w:r>
        <w:rPr>
          <w:rFonts w:eastAsia="Times New Roman" w:cs="Times New Roman" w:ascii="Times New Roman" w:hAnsi="Times New Roman"/>
          <w:sz w:val="28"/>
          <w:szCs w:val="28"/>
        </w:rPr>
        <w:t>Изучение состояния земель проводится в целях получения информации о количественном и качественном состоянии земель. Получение актуальной информации возможно в результате проведения геодезических, картографических работ, почвенных, геоботанических и иных обследований и изысканий.</w:t>
      </w:r>
    </w:p>
    <w:p>
      <w:pPr>
        <w:pStyle w:val="Normal"/>
        <w:spacing w:lineRule="auto" w:line="240" w:before="0" w:after="200"/>
        <w:contextualSpacing/>
        <w:jc w:val="both"/>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 xml:space="preserve">По Государственному контракту № 159Д от 22.12.2009 (исполнитель Дальневосточный филиал ФГУП «Госземкадастрсъемка»- ВИСХАГИ) на выполнение работ по теме: «Работы по формированию баз данных цифровой картографической основы в Еврейской автономной области, Камчатском крае, Магаданской области, Приморском крае, Томской области, Республике Хакасия, Амурской области, Читинской области» </w:t>
      </w:r>
      <w:r>
        <w:rPr>
          <w:rFonts w:eastAsia="Times New Roman" w:cs="Times New Roman" w:ascii="Times New Roman" w:hAnsi="Times New Roman"/>
          <w:sz w:val="28"/>
          <w:szCs w:val="28"/>
          <w:lang w:eastAsia="en-US" w:bidi="en-US"/>
        </w:rPr>
        <w:t>выполнены работы по созданию цифровых ортофотопланов масштаба</w:t>
      </w:r>
      <w:r>
        <w:rPr>
          <w:rFonts w:eastAsia="" w:cs="Times New Roman" w:ascii="Times New Roman" w:hAnsi="Times New Roman" w:eastAsiaTheme="majorEastAsia"/>
          <w:sz w:val="28"/>
          <w:szCs w:val="28"/>
          <w:lang w:eastAsia="en-US" w:bidi="en-US"/>
        </w:rPr>
        <w:t xml:space="preserve"> </w:t>
      </w:r>
      <w:r>
        <w:rPr>
          <w:rFonts w:eastAsia="Times New Roman" w:cs="Times New Roman" w:ascii="Times New Roman" w:hAnsi="Times New Roman"/>
          <w:sz w:val="28"/>
          <w:szCs w:val="28"/>
          <w:lang w:eastAsia="en-US" w:bidi="en-US"/>
        </w:rPr>
        <w:t>1:10 000</w:t>
      </w:r>
      <w:r>
        <w:rPr>
          <w:rFonts w:eastAsia="" w:cs="" w:ascii="Times New Roman" w:hAnsi="Times New Roman" w:cstheme="majorBidi" w:eastAsiaTheme="majorEastAsia"/>
          <w:sz w:val="28"/>
          <w:szCs w:val="28"/>
          <w:lang w:eastAsia="en-US" w:bidi="en-US"/>
        </w:rPr>
        <w:t xml:space="preserve"> и </w:t>
      </w:r>
      <w:r>
        <w:rPr>
          <w:rFonts w:eastAsia="" w:cs="Times New Roman" w:ascii="Times New Roman" w:hAnsi="Times New Roman" w:eastAsiaTheme="majorEastAsia"/>
          <w:sz w:val="28"/>
          <w:szCs w:val="28"/>
          <w:lang w:eastAsia="en-US" w:bidi="en-US"/>
        </w:rPr>
        <w:t xml:space="preserve">1:25 000 </w:t>
      </w:r>
      <w:r>
        <w:rPr>
          <w:rFonts w:eastAsia="Times New Roman" w:cs="Times New Roman" w:ascii="Times New Roman" w:hAnsi="Times New Roman"/>
          <w:sz w:val="28"/>
          <w:szCs w:val="28"/>
          <w:lang w:eastAsia="en-US" w:bidi="en-US"/>
        </w:rPr>
        <w:t xml:space="preserve">на </w:t>
      </w:r>
      <w:r>
        <w:rPr>
          <w:rFonts w:eastAsia="" w:cs="Times New Roman" w:ascii="Times New Roman" w:hAnsi="Times New Roman" w:eastAsiaTheme="majorEastAsia"/>
          <w:sz w:val="28"/>
          <w:szCs w:val="28"/>
          <w:lang w:eastAsia="en-US" w:bidi="en-US"/>
        </w:rPr>
        <w:t xml:space="preserve"> межселенные территории 13 из 34 муниципальных районов Приморского края.</w:t>
      </w:r>
    </w:p>
    <w:p>
      <w:pPr>
        <w:pStyle w:val="Normal"/>
        <w:spacing w:lineRule="auto" w:line="240" w:before="0" w:after="200"/>
        <w:contextualSpacing/>
        <w:jc w:val="both"/>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Актуальный п</w:t>
      </w:r>
      <w:r>
        <w:rPr>
          <w:rFonts w:eastAsia="" w:cs="" w:ascii="Times New Roman" w:hAnsi="Times New Roman" w:cstheme="majorBidi" w:eastAsiaTheme="majorEastAsia"/>
          <w:sz w:val="28"/>
          <w:szCs w:val="28"/>
          <w:lang w:eastAsia="en-US" w:bidi="en-US"/>
        </w:rPr>
        <w:t>ланово-картографический материал на населенные пункты Приморского края отсутствует.</w:t>
      </w:r>
    </w:p>
    <w:p>
      <w:pPr>
        <w:pStyle w:val="Normal"/>
        <w:spacing w:lineRule="auto" w:line="240" w:before="0" w:after="200"/>
        <w:contextualSpacing/>
        <w:jc w:val="both"/>
        <w:rPr>
          <w:rFonts w:ascii="Times New Roman" w:hAnsi="Times New Roman" w:eastAsia="Times New Roman" w:cs="Times New Roman"/>
          <w:sz w:val="28"/>
          <w:szCs w:val="28"/>
          <w:lang w:eastAsia="en-US" w:bidi="en-US"/>
        </w:rPr>
      </w:pPr>
      <w:r>
        <w:rPr>
          <w:rFonts w:eastAsia="Times New Roman" w:cs="Times New Roman" w:ascii="Times New Roman" w:hAnsi="Times New Roman"/>
          <w:sz w:val="28"/>
          <w:szCs w:val="28"/>
          <w:lang w:eastAsia="en-US" w:bidi="en-US"/>
        </w:rPr>
        <w:t>В настоящее время корректировка ранее созданного планово-картографического материала не осуществляется, что не позволяет в полной мере отследить динамику качественного изменения земельного фонда края.</w:t>
      </w:r>
    </w:p>
    <w:p>
      <w:pPr>
        <w:pStyle w:val="Normal"/>
        <w:spacing w:lineRule="auto" w:line="240" w:before="0" w:after="200"/>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Общая площадь земель, подверженных негативному воздействию, на территории Приморского края по состоянию на 01.01.2017  в соответствии с отчетом по форме 7-ХХ «Отчет по изучению состояния и использования земель» составила:</w:t>
      </w:r>
    </w:p>
    <w:p>
      <w:pPr>
        <w:pStyle w:val="Normal"/>
        <w:spacing w:lineRule="auto" w:line="240" w:before="0" w:after="200"/>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 водная эрозия 587.33 тыс.га;</w:t>
      </w:r>
    </w:p>
    <w:p>
      <w:pPr>
        <w:pStyle w:val="Normal"/>
        <w:spacing w:lineRule="auto" w:line="240" w:before="0" w:after="0"/>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 ветровая эрозия 32.12 тыс.га;</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подтопление и переувлажнение 642.76 тыс.га;</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нарушение земель 17 тыс.га;</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прочие негативные процессы 262.4 тыс.га.</w:t>
      </w:r>
    </w:p>
    <w:p>
      <w:pPr>
        <w:pStyle w:val="Normal"/>
        <w:spacing w:lineRule="auto" w:line="240" w:before="0" w:after="0"/>
        <w:jc w:val="both"/>
        <w:rPr/>
      </w:pPr>
      <w:r>
        <w:rPr/>
      </w:r>
    </w:p>
    <w:p>
      <w:pPr>
        <w:pStyle w:val="Normal"/>
        <w:spacing w:lineRule="auto" w:line="240" w:before="0" w:after="0"/>
        <w:contextualSpacing/>
        <w:jc w:val="both"/>
        <w:rPr>
          <w:rFonts w:ascii="Times New Roman" w:hAnsi="Times New Roman" w:eastAsia="Times New Roman" w:cs="Times New Roman"/>
          <w:sz w:val="28"/>
          <w:szCs w:val="28"/>
          <w:lang w:bidi="en-US"/>
        </w:rPr>
      </w:pPr>
      <w:r>
        <w:rPr>
          <w:rFonts w:eastAsia="Times New Roman" w:cs="Times New Roman" w:ascii="Times New Roman" w:hAnsi="Times New Roman"/>
          <w:sz w:val="28"/>
          <w:szCs w:val="28"/>
          <w:lang w:bidi="en-US"/>
        </w:rPr>
        <w:t>Специально уполномоченным федеральным органом исполнительной власти в области мониторинга загрязнения окружающей среды (в том числе почв) является Федеральная служба по гидрометеорологии и мониторингу окружающей среды (Росгидромет), на территории</w:t>
      </w:r>
      <w:r>
        <w:rPr>
          <w:rFonts w:eastAsia="Times New Roman" w:cs="Times New Roman" w:ascii="Times New Roman" w:hAnsi="Times New Roman"/>
          <w:sz w:val="28"/>
          <w:szCs w:val="28"/>
          <w:lang w:val="en-US" w:bidi="en-US"/>
        </w:rPr>
        <w:t> </w:t>
      </w:r>
      <w:r>
        <w:rPr>
          <w:rFonts w:eastAsia="Times New Roman" w:cs="Times New Roman" w:ascii="Times New Roman" w:hAnsi="Times New Roman"/>
          <w:sz w:val="28"/>
          <w:szCs w:val="28"/>
          <w:lang w:bidi="en-US"/>
        </w:rPr>
        <w:t xml:space="preserve"> края – Приморское управление по гидрометеорологии и мониторингу окружающей среды (Приморское УГМС). </w:t>
      </w:r>
    </w:p>
    <w:p>
      <w:pPr>
        <w:pStyle w:val="Normal"/>
        <w:spacing w:lineRule="auto" w:line="240" w:before="0" w:after="0"/>
        <w:contextualSpacing/>
        <w:jc w:val="both"/>
        <w:rPr>
          <w:rFonts w:ascii="Times New Roman" w:hAnsi="Times New Roman" w:eastAsia="Times New Roman" w:cs="Times New Roman"/>
          <w:sz w:val="28"/>
          <w:szCs w:val="28"/>
          <w:lang w:bidi="en-US"/>
        </w:rPr>
      </w:pPr>
      <w:r>
        <w:rPr>
          <w:rFonts w:eastAsia="Times New Roman" w:cs="Times New Roman" w:ascii="Times New Roman" w:hAnsi="Times New Roman"/>
          <w:sz w:val="28"/>
          <w:szCs w:val="28"/>
          <w:lang w:bidi="en-US"/>
        </w:rPr>
        <w:t>Наблюдения за загрязнением</w:t>
      </w:r>
      <w:r>
        <w:rPr>
          <w:rFonts w:eastAsia="Times New Roman" w:cs="Times New Roman" w:ascii="Times New Roman" w:hAnsi="Times New Roman"/>
          <w:sz w:val="28"/>
          <w:szCs w:val="28"/>
          <w:lang w:val="en-US" w:bidi="en-US"/>
        </w:rPr>
        <w:t> </w:t>
      </w:r>
      <w:r>
        <w:rPr>
          <w:rFonts w:eastAsia="Times New Roman" w:cs="Times New Roman" w:ascii="Times New Roman" w:hAnsi="Times New Roman"/>
          <w:sz w:val="28"/>
          <w:szCs w:val="28"/>
          <w:lang w:bidi="en-US"/>
        </w:rPr>
        <w:t xml:space="preserve">почв Приморского края проводятся на базе лаборатории мониторинга загрязнения атмосферы и почв (ЛМЗАиП) Приморского центра мониторинга загрязнения окружающей среды (ПЦМС) и сети станций Приморскгидромета по двум основным направлениям: </w:t>
      </w:r>
    </w:p>
    <w:p>
      <w:pPr>
        <w:pStyle w:val="Normal"/>
        <w:spacing w:lineRule="auto" w:line="240" w:before="0" w:after="0"/>
        <w:contextualSpacing/>
        <w:jc w:val="both"/>
        <w:rPr>
          <w:rFonts w:ascii="Times New Roman" w:hAnsi="Times New Roman" w:eastAsia="Times New Roman" w:cs="Times New Roman"/>
          <w:sz w:val="28"/>
          <w:szCs w:val="28"/>
          <w:lang w:eastAsia="en-US" w:bidi="en-US"/>
        </w:rPr>
      </w:pPr>
      <w:r>
        <w:rPr>
          <w:rFonts w:eastAsia="Times New Roman" w:cs="Times New Roman" w:ascii="Times New Roman" w:hAnsi="Times New Roman"/>
          <w:sz w:val="28"/>
          <w:szCs w:val="28"/>
          <w:lang w:eastAsia="en-US" w:bidi="en-US"/>
        </w:rPr>
        <w:t xml:space="preserve">- загрязнение почв, прилегающих к городам, токсикантами промышленного происхождения; </w:t>
      </w:r>
    </w:p>
    <w:p>
      <w:pPr>
        <w:pStyle w:val="Normal"/>
        <w:spacing w:lineRule="auto" w:line="240" w:before="0" w:after="0"/>
        <w:contextualSpacing/>
        <w:jc w:val="both"/>
        <w:rPr>
          <w:rFonts w:ascii="Times New Roman" w:hAnsi="Times New Roman" w:eastAsia="Times New Roman" w:cs="Times New Roman"/>
          <w:sz w:val="28"/>
          <w:szCs w:val="28"/>
          <w:lang w:eastAsia="en-US" w:bidi="en-US"/>
        </w:rPr>
      </w:pPr>
      <w:r>
        <w:rPr>
          <w:rFonts w:eastAsia="Times New Roman" w:cs="Times New Roman" w:ascii="Times New Roman" w:hAnsi="Times New Roman"/>
          <w:sz w:val="28"/>
          <w:szCs w:val="28"/>
          <w:lang w:eastAsia="en-US" w:bidi="en-US"/>
        </w:rPr>
        <w:t>- загрязнение</w:t>
      </w:r>
      <w:r>
        <w:rPr>
          <w:rFonts w:eastAsia="Times New Roman" w:cs="Times New Roman" w:ascii="Times New Roman" w:hAnsi="Times New Roman"/>
          <w:sz w:val="28"/>
          <w:szCs w:val="28"/>
          <w:lang w:val="en-US" w:eastAsia="en-US" w:bidi="en-US"/>
        </w:rPr>
        <w:t> </w:t>
      </w:r>
      <w:r>
        <w:rPr>
          <w:rFonts w:eastAsia="Times New Roman" w:cs="Times New Roman" w:ascii="Times New Roman" w:hAnsi="Times New Roman"/>
          <w:sz w:val="28"/>
          <w:szCs w:val="28"/>
          <w:lang w:eastAsia="en-US" w:bidi="en-US"/>
        </w:rPr>
        <w:t>почв сельскохозяйственных угодий остаточными количествами (ОК) пестицидов.</w:t>
      </w:r>
    </w:p>
    <w:p>
      <w:pPr>
        <w:pStyle w:val="Normal"/>
        <w:widowControl w:val="false"/>
        <w:numPr>
          <w:ilvl w:val="0"/>
          <w:numId w:val="0"/>
        </w:numPr>
        <w:spacing w:lineRule="auto" w:line="240" w:before="0" w:after="0"/>
        <w:jc w:val="both"/>
        <w:outlineLvl w:val="0"/>
        <w:rPr>
          <w:rFonts w:ascii="Times New Roman" w:hAnsi="Times New Roman" w:eastAsia="Times New Roman" w:cs="Times New Roman"/>
          <w:sz w:val="28"/>
          <w:szCs w:val="28"/>
        </w:rPr>
      </w:pPr>
      <w:r>
        <w:rPr>
          <w:rFonts w:eastAsia="Times New Roman" w:cs="Times New Roman" w:ascii="Times New Roman" w:hAnsi="Times New Roman"/>
          <w:sz w:val="28"/>
          <w:szCs w:val="28"/>
        </w:rPr>
        <w:t>Наблюдения за состоянием загрязненных почв токсикантами промышленного происхождения проводятся ежегодно в зоне влияния одного (двух) промышленных городов края с периодичностью ≈ 5 лет.</w:t>
      </w:r>
    </w:p>
    <w:p>
      <w:pPr>
        <w:pStyle w:val="Normal"/>
        <w:spacing w:lineRule="auto" w:line="240" w:before="0" w:afterAutospacing="1"/>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Объектами обследования в 2016 году были почвы г. Дальнегорска и его окрестностей, а также с. Рудная Пристань (площадь составила 29,88 тыс.га). В результате наблюдений зафиксировано, что почвы г. Дальнегорска и его окрестностей загрязнены ионами свинца - 88%, цинка – 54%, кадмия – 26%, марганца – 4,8%, меди – 2,4%. Максимальный уровень загрязнения почвы свинцом (52,2 ПДК) и кадмием (10,3 ОДК) зарегистрирован в районе рудника Николаевский. Почвы с. Рудная Пристань загрязнены ионами свинца – 100% от общего числа проб, цинка – 72,2%, кадмия – 45,5%, меди – 18,0%. </w:t>
      </w:r>
    </w:p>
    <w:p>
      <w:pPr>
        <w:pStyle w:val="Normal"/>
        <w:spacing w:lineRule="auto" w:line="240" w:before="0" w:afterAutospacing="1"/>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2016 году было обследовано 180 га земель сельскохозяйственного назначения. Информация о загрязнении почв представлена  таблицей:</w:t>
      </w:r>
    </w:p>
    <w:tbl>
      <w:tblPr>
        <w:tblStyle w:val="a5"/>
        <w:tblW w:w="960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659"/>
        <w:gridCol w:w="1705"/>
        <w:gridCol w:w="1980"/>
        <w:gridCol w:w="3261"/>
      </w:tblGrid>
      <w:tr>
        <w:trPr/>
        <w:tc>
          <w:tcPr>
            <w:tcW w:w="2659" w:type="dxa"/>
            <w:tcBorders/>
          </w:tcPr>
          <w:p>
            <w:pPr>
              <w:pStyle w:val="Normal"/>
              <w:widowControl/>
              <w:spacing w:lineRule="auto" w:line="240" w:before="0" w:after="0"/>
              <w:jc w:val="center"/>
              <w:rPr>
                <w:rFonts w:ascii="Times New Roman" w:hAnsi="Times New Roman" w:eastAsia="Times New Roman" w:cs="Times New Roman"/>
                <w:sz w:val="24"/>
                <w:szCs w:val="24"/>
                <w:lang w:val="ru-RU"/>
              </w:rPr>
            </w:pPr>
            <w:r>
              <w:rPr>
                <w:rFonts w:eastAsia="Times New Roman" w:cs="Times New Roman" w:ascii="Times New Roman" w:hAnsi="Times New Roman"/>
                <w:kern w:val="0"/>
                <w:sz w:val="24"/>
                <w:szCs w:val="24"/>
                <w:lang w:val="ru-RU" w:eastAsia="en-US" w:bidi="en-US"/>
              </w:rPr>
              <w:t>Характкристика земель по категориям</w:t>
            </w:r>
          </w:p>
        </w:tc>
        <w:tc>
          <w:tcPr>
            <w:tcW w:w="1705" w:type="dxa"/>
            <w:tcBorders/>
          </w:tcPr>
          <w:p>
            <w:pPr>
              <w:pStyle w:val="Normal"/>
              <w:widowControl/>
              <w:spacing w:lineRule="auto" w:line="240" w:before="0" w:after="0"/>
              <w:jc w:val="center"/>
              <w:rPr>
                <w:rFonts w:ascii="Times New Roman" w:hAnsi="Times New Roman" w:eastAsia="Times New Roman" w:cs="Times New Roman"/>
                <w:sz w:val="24"/>
                <w:szCs w:val="24"/>
                <w:lang w:val="ru-RU"/>
              </w:rPr>
            </w:pPr>
            <w:r>
              <w:rPr>
                <w:rFonts w:eastAsia="Times New Roman" w:cs="Times New Roman" w:ascii="Times New Roman" w:hAnsi="Times New Roman"/>
                <w:kern w:val="0"/>
                <w:sz w:val="24"/>
                <w:szCs w:val="24"/>
                <w:lang w:val="ru-RU" w:eastAsia="en-US" w:bidi="en-US"/>
              </w:rPr>
              <w:t>Наблюдаемый процесс</w:t>
            </w:r>
          </w:p>
        </w:tc>
        <w:tc>
          <w:tcPr>
            <w:tcW w:w="1980" w:type="dxa"/>
            <w:tcBorders/>
          </w:tcPr>
          <w:p>
            <w:pPr>
              <w:pStyle w:val="Normal"/>
              <w:widowControl/>
              <w:spacing w:lineRule="auto" w:line="240" w:before="0" w:after="0"/>
              <w:jc w:val="center"/>
              <w:rPr>
                <w:rFonts w:ascii="Times New Roman" w:hAnsi="Times New Roman" w:eastAsia="Times New Roman" w:cs="Times New Roman"/>
                <w:sz w:val="24"/>
                <w:szCs w:val="24"/>
                <w:lang w:val="ru-RU"/>
              </w:rPr>
            </w:pPr>
            <w:r>
              <w:rPr>
                <w:rFonts w:eastAsia="Times New Roman" w:cs="Times New Roman" w:ascii="Times New Roman" w:hAnsi="Times New Roman"/>
                <w:kern w:val="0"/>
                <w:sz w:val="24"/>
                <w:szCs w:val="24"/>
                <w:lang w:val="ru-RU" w:eastAsia="en-US" w:bidi="en-US"/>
              </w:rPr>
              <w:t>Категория загрязнения почв</w:t>
            </w:r>
          </w:p>
        </w:tc>
        <w:tc>
          <w:tcPr>
            <w:tcW w:w="3261" w:type="dxa"/>
            <w:tcBorders/>
          </w:tcPr>
          <w:p>
            <w:pPr>
              <w:pStyle w:val="Normal"/>
              <w:widowControl/>
              <w:spacing w:lineRule="auto" w:line="240" w:before="0" w:after="0"/>
              <w:jc w:val="center"/>
              <w:rPr>
                <w:rFonts w:ascii="Times New Roman" w:hAnsi="Times New Roman" w:eastAsia="Times New Roman" w:cs="Times New Roman"/>
                <w:sz w:val="24"/>
                <w:szCs w:val="24"/>
                <w:lang w:val="ru-RU"/>
              </w:rPr>
            </w:pPr>
            <w:r>
              <w:rPr>
                <w:rFonts w:eastAsia="Times New Roman" w:cs="Times New Roman" w:ascii="Times New Roman" w:hAnsi="Times New Roman"/>
                <w:kern w:val="0"/>
                <w:sz w:val="24"/>
                <w:szCs w:val="24"/>
                <w:lang w:val="ru-RU" w:eastAsia="en-US" w:bidi="en-US"/>
              </w:rPr>
              <w:t>Источник информации</w:t>
            </w:r>
          </w:p>
        </w:tc>
      </w:tr>
      <w:tr>
        <w:trPr/>
        <w:tc>
          <w:tcPr>
            <w:tcW w:w="2659" w:type="dxa"/>
            <w:tcBorders/>
          </w:tcPr>
          <w:p>
            <w:pPr>
              <w:pStyle w:val="Normal"/>
              <w:widowControl/>
              <w:spacing w:lineRule="auto" w:line="240" w:before="0" w:after="0"/>
              <w:jc w:val="both"/>
              <w:rPr>
                <w:rFonts w:ascii="Times New Roman" w:hAnsi="Times New Roman" w:eastAsia="Times New Roman" w:cs="Times New Roman"/>
                <w:sz w:val="24"/>
                <w:szCs w:val="24"/>
                <w:lang w:val="ru-RU"/>
              </w:rPr>
            </w:pPr>
            <w:r>
              <w:rPr>
                <w:rFonts w:eastAsia="Times New Roman" w:cs="Times New Roman" w:ascii="Times New Roman" w:hAnsi="Times New Roman"/>
                <w:kern w:val="0"/>
                <w:sz w:val="24"/>
                <w:szCs w:val="24"/>
                <w:lang w:val="ru-RU" w:eastAsia="en-US" w:bidi="en-US"/>
              </w:rPr>
              <w:t>Земли сельскохозяйственного назначения</w:t>
            </w:r>
          </w:p>
        </w:tc>
        <w:tc>
          <w:tcPr>
            <w:tcW w:w="1705" w:type="dxa"/>
            <w:tcBorders/>
          </w:tcPr>
          <w:p>
            <w:pPr>
              <w:pStyle w:val="Normal"/>
              <w:widowControl/>
              <w:spacing w:lineRule="auto" w:line="240" w:before="0" w:after="0"/>
              <w:jc w:val="both"/>
              <w:rPr>
                <w:rFonts w:ascii="Times New Roman" w:hAnsi="Times New Roman" w:eastAsia="Times New Roman" w:cs="Times New Roman"/>
                <w:sz w:val="24"/>
                <w:szCs w:val="24"/>
                <w:lang w:val="ru-RU"/>
              </w:rPr>
            </w:pPr>
            <w:r>
              <w:rPr>
                <w:rFonts w:eastAsia="Times New Roman" w:cs="Times New Roman" w:ascii="Times New Roman" w:hAnsi="Times New Roman"/>
                <w:kern w:val="0"/>
                <w:sz w:val="24"/>
                <w:szCs w:val="24"/>
                <w:lang w:val="ru-RU" w:eastAsia="en-US" w:bidi="en-US"/>
              </w:rPr>
              <w:t>Загрязнение  средствами химизации с/х</w:t>
            </w:r>
          </w:p>
        </w:tc>
        <w:tc>
          <w:tcPr>
            <w:tcW w:w="1980" w:type="dxa"/>
            <w:tcBorders/>
          </w:tcPr>
          <w:p>
            <w:pPr>
              <w:pStyle w:val="Normal"/>
              <w:widowControl/>
              <w:spacing w:lineRule="auto" w:line="240" w:before="0" w:after="0"/>
              <w:jc w:val="both"/>
              <w:rPr>
                <w:rFonts w:ascii="Times New Roman" w:hAnsi="Times New Roman" w:eastAsia="Times New Roman" w:cs="Times New Roman"/>
                <w:sz w:val="24"/>
                <w:szCs w:val="24"/>
                <w:lang w:val="ru-RU"/>
              </w:rPr>
            </w:pPr>
            <w:r>
              <w:rPr>
                <w:rFonts w:eastAsia="Times New Roman" w:cs="Times New Roman" w:ascii="Times New Roman" w:hAnsi="Times New Roman"/>
                <w:kern w:val="0"/>
                <w:sz w:val="24"/>
                <w:szCs w:val="24"/>
                <w:lang w:val="ru-RU" w:eastAsia="en-US" w:bidi="en-US"/>
              </w:rPr>
              <w:t>не опасная</w:t>
            </w:r>
          </w:p>
        </w:tc>
        <w:tc>
          <w:tcPr>
            <w:tcW w:w="3261" w:type="dxa"/>
            <w:tcBorders/>
          </w:tcPr>
          <w:p>
            <w:pPr>
              <w:pStyle w:val="Normal"/>
              <w:widowControl/>
              <w:spacing w:lineRule="auto" w:line="240" w:before="0" w:after="0"/>
              <w:jc w:val="both"/>
              <w:rPr>
                <w:rFonts w:ascii="Times New Roman" w:hAnsi="Times New Roman" w:eastAsia="Times New Roman" w:cs="Times New Roman"/>
                <w:sz w:val="24"/>
                <w:szCs w:val="24"/>
                <w:lang w:val="ru-RU"/>
              </w:rPr>
            </w:pPr>
            <w:r>
              <w:rPr>
                <w:rFonts w:eastAsia="Times New Roman" w:cs="Times New Roman" w:ascii="Times New Roman" w:hAnsi="Times New Roman"/>
                <w:kern w:val="0"/>
                <w:sz w:val="24"/>
                <w:szCs w:val="24"/>
                <w:lang w:val="ru-RU" w:eastAsia="en-US" w:bidi="en-US"/>
              </w:rPr>
              <w:t>Проведение полевых и аналитических работ ФГБУ «Приморское УГМС»</w:t>
            </w:r>
          </w:p>
        </w:tc>
      </w:tr>
    </w:tbl>
    <w:p>
      <w:pPr>
        <w:pStyle w:val="Normal"/>
        <w:widowControl w:val="false"/>
        <w:numPr>
          <w:ilvl w:val="0"/>
          <w:numId w:val="0"/>
        </w:numPr>
        <w:spacing w:lineRule="auto" w:line="240" w:before="0" w:after="0"/>
        <w:jc w:val="both"/>
        <w:outlineLvl w:val="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jc w:val="both"/>
        <w:rPr>
          <w:rFonts w:ascii="Times New Roman" w:hAnsi="Times New Roman"/>
          <w:sz w:val="28"/>
          <w:szCs w:val="28"/>
        </w:rPr>
      </w:pPr>
      <w:r>
        <w:rPr>
          <w:rFonts w:ascii="Times New Roman" w:hAnsi="Times New Roman"/>
          <w:sz w:val="28"/>
          <w:szCs w:val="28"/>
        </w:rPr>
        <w:t>По сведениям, предоставленным Управлением Россельхознадзора по Приморскому краю и Сахалинской области, в 2016 году на территории Приморского края на землях сельскохозяйственного назначения площадь захламления составила 7,5 га, площадь загрязнения химическими веществами (тяжелыми металлами и средствами химизации) составила 299,1 га.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Актуальные прогнозы и рекомендации по предупреждению и устранению негативных процессов в 2016 году на территории Приморского края не разрабатывались.</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Для осуществления систематического наблюдения за фактическим состоянием и использованием земель, выявления изменений состояния земель, оценки качественного состояния земель с учетом воздействия природных и антропогенных факторов, оценки и прогнозирования развития негативных процессов, обусловленных природными и антропогенными воздействиями, выработки предложений о предотвращении негативного воздействия на земли, об устранении последствий такого воздействия, обеспечения органов государственной власти, органов местного самоуправления, юридических лиц, индивидуальных предпринимателей и граждан информацией о состоянии окружающей среды в части состояния земель требуется дополнительное финансирование.</w:t>
      </w:r>
    </w:p>
    <w:p>
      <w:pPr>
        <w:pStyle w:val="Normal"/>
        <w:widowControl w:val="false"/>
        <w:spacing w:lineRule="auto" w:line="240" w:before="0" w:after="0"/>
        <w:jc w:val="both"/>
        <w:rPr>
          <w:rFonts w:ascii="Times New Roman" w:hAnsi="Times New Roman" w:cs="Times New Roman"/>
          <w:sz w:val="28"/>
          <w:szCs w:val="28"/>
        </w:rPr>
      </w:pPr>
      <w:r>
        <w:rPr>
          <w:rFonts w:eastAsia="Times New Roman" w:cs="Times New Roman" w:ascii="Times New Roman" w:hAnsi="Times New Roman"/>
          <w:sz w:val="28"/>
          <w:szCs w:val="28"/>
        </w:rPr>
        <w:t>В соответствии с приказом Росреестра от 26.06.2015 № П/343, которым утвержден Порядок организации деятельности и взаимодействия территориальных органов и структурных подразделений Федеральной службы государственной регистрации, кадастра и картографии при осуществлении государственного мониторинга земель, м</w:t>
      </w:r>
      <w:r>
        <w:rPr>
          <w:rFonts w:cs="Times New Roman" w:ascii="Times New Roman" w:hAnsi="Times New Roman"/>
          <w:sz w:val="28"/>
          <w:szCs w:val="28"/>
        </w:rPr>
        <w:t xml:space="preserve">ониторинг использования земель представлен таблицами приложений 8-13, </w:t>
      </w:r>
      <w:r>
        <w:rPr>
          <w:rFonts w:eastAsia="Times New Roman" w:cs="Times New Roman" w:ascii="Times New Roman" w:hAnsi="Times New Roman"/>
          <w:sz w:val="28"/>
          <w:szCs w:val="28"/>
        </w:rPr>
        <w:t>м</w:t>
      </w:r>
      <w:r>
        <w:rPr>
          <w:rFonts w:cs="Times New Roman" w:ascii="Times New Roman" w:hAnsi="Times New Roman"/>
          <w:sz w:val="28"/>
          <w:szCs w:val="28"/>
        </w:rPr>
        <w:t>ониторинг состояния земель представлен таблицами приложений 14-17.</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рамках осуществления государственного мониторинга земель считаем необходимым:</w:t>
      </w:r>
    </w:p>
    <w:p>
      <w:pPr>
        <w:pStyle w:val="Normal"/>
        <w:spacing w:lineRule="auto" w:line="240" w:before="0" w:after="200"/>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 предусмотреть финансирование работ по государственному мониторингу земель;</w:t>
      </w:r>
    </w:p>
    <w:p>
      <w:pPr>
        <w:pStyle w:val="Normal"/>
        <w:spacing w:lineRule="auto" w:line="240" w:before="0" w:after="200"/>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 создание и регулярное обновление планово-картографического материала на населенные пункты Приморского края.</w:t>
      </w:r>
    </w:p>
    <w:p>
      <w:pPr>
        <w:pStyle w:val="Normal"/>
        <w:spacing w:lineRule="auto" w:line="240" w:before="0" w:after="200"/>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 проведение мониторинга по выявлению и инвентаризации нарушенных земель при строительстве газопровода (Хабаровск-Владивосток), нефтепровода (Восточная Сибирь - Тихий океан);</w:t>
      </w:r>
    </w:p>
    <w:p>
      <w:pPr>
        <w:pStyle w:val="Normal"/>
        <w:spacing w:lineRule="auto" w:line="240" w:before="0" w:after="200"/>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 мониторинг радиоактивного загрязнения на территории г. Большой Камень;</w:t>
      </w:r>
    </w:p>
    <w:p>
      <w:pPr>
        <w:pStyle w:val="Normal"/>
        <w:spacing w:lineRule="auto" w:line="240" w:before="0" w:after="200"/>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 мониторинг нарушенных земель при проведении разведочных работ при добыче полезных ископаемых открытым способом (бор, вольфрам, уголь) на территориях Михайловского, Октябрьского, Пожарского и Дальнегорского районов Приморского края.</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3.2.2. Землеустройство</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 соответствии с Федеральным законом от 18.06.2001 № 78-ФЗ «О землеустройстве» землеустройство – это мероприятия по изучению состояния земель, планированию и организации рационального использования земель и их охраны, описанию местоположения и (или) установлению на местности границ объектов землеустройства, организации рационального использования гражданами и юридическими лицами земельных участков для осуществления сельскохозяйственного производства, а также по организации территорий, используемых общинами коренных малочисленных народов Севера, Сибири и Дальнего Востока Российской Федерации и лицами, относящимися к коренным малочисленным народам Севера, Сибири и Дальнего Востока Российской Федерации, для обеспечения их традиционного образа жизни (внутрихозяйственное землеустройство).</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Объектами землеустройства являются территории субъектов Российской Федерации, территории муниципальных образований, территории населенных пунктов, территориальные зоны, а также части указанных территорий и зон. </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Землеустроительные работы проводятся на основании решений федеральных органов государственной власти, органов государственной власти субъектов Российской Федерации и органов местного самоуправления, договоров на проведение землеустроительных работ, а также судебных решений. </w:t>
      </w:r>
    </w:p>
    <w:p>
      <w:pPr>
        <w:pStyle w:val="Normal"/>
        <w:spacing w:lineRule="auto" w:line="240" w:before="0" w:after="0"/>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 xml:space="preserve">В соответствии с Положением об Управлении Федеральной службы государственной регистрации, кадастра и картографии по Приморскому краю </w:t>
      </w:r>
      <w:r>
        <w:rPr>
          <w:rFonts w:eastAsia="" w:cs="" w:ascii="Times New Roman" w:hAnsi="Times New Roman" w:cstheme="majorBidi" w:eastAsiaTheme="majorEastAsia"/>
          <w:color w:val="000000"/>
          <w:sz w:val="28"/>
          <w:szCs w:val="28"/>
          <w:lang w:eastAsia="en-US" w:bidi="en-US"/>
        </w:rPr>
        <w:t>(приказ Росреестра от 28.10.2009 № 314)</w:t>
      </w:r>
      <w:r>
        <w:rPr>
          <w:rFonts w:eastAsia="" w:cs="" w:ascii="Times New Roman" w:hAnsi="Times New Roman" w:cstheme="majorBidi" w:eastAsiaTheme="majorEastAsia"/>
          <w:sz w:val="28"/>
          <w:szCs w:val="28"/>
          <w:lang w:eastAsia="en-US" w:bidi="en-US"/>
        </w:rPr>
        <w:t xml:space="preserve"> Управление организует проведение землеустройства в соответствии с решениями федеральных органов государственной власти.</w:t>
      </w:r>
    </w:p>
    <w:p>
      <w:pPr>
        <w:pStyle w:val="Normal"/>
        <w:spacing w:lineRule="auto" w:line="240" w:before="0" w:after="0"/>
        <w:jc w:val="both"/>
        <w:rPr>
          <w:rFonts w:ascii="Times New Roman" w:hAnsi="Times New Roman" w:cs="Times New Roman"/>
          <w:bCs/>
          <w:sz w:val="28"/>
        </w:rPr>
      </w:pPr>
      <w:r>
        <w:rPr>
          <w:rFonts w:cs="Times New Roman" w:ascii="Times New Roman" w:hAnsi="Times New Roman"/>
          <w:bCs/>
          <w:sz w:val="28"/>
        </w:rPr>
        <w:t xml:space="preserve">В связи с вступлением в силу с 17.05.2008 Федерального закона от 13.05.2008 № 66-ФЗ </w:t>
      </w:r>
      <w:r>
        <w:rPr>
          <w:rFonts w:cs="Times New Roman" w:ascii="Times New Roman" w:hAnsi="Times New Roman"/>
          <w:b/>
          <w:bCs/>
          <w:sz w:val="28"/>
        </w:rPr>
        <w:t>«</w:t>
      </w:r>
      <w:r>
        <w:rPr>
          <w:rFonts w:cs="Times New Roman" w:ascii="Times New Roman" w:hAnsi="Times New Roman"/>
          <w:bCs/>
          <w:sz w:val="28"/>
        </w:rPr>
        <w: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государственном кадастре недвижимости», изменился перечень объектов землеустройства и земельный участок перестал являться объектом землеустройства. До этого момента, основным видом работ по землеустройству, носившим массовый характер,  являлось межевание земельных участков.</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Cs/>
          <w:sz w:val="28"/>
        </w:rPr>
        <w:t xml:space="preserve">В течение 2016 года на основании договоров о проведении землеустройства проводились работы по описанию местоположения границ объектов землеустройства – </w:t>
      </w:r>
      <w:r>
        <w:rPr>
          <w:rFonts w:ascii="Times New Roman" w:hAnsi="Times New Roman"/>
          <w:sz w:val="28"/>
          <w:szCs w:val="28"/>
        </w:rPr>
        <w:t>границ населенных пунктов Лесозаводского городского округа, г. Арсеньева.</w:t>
      </w:r>
    </w:p>
    <w:p>
      <w:pPr>
        <w:pStyle w:val="Normal"/>
        <w:spacing w:lineRule="auto" w:line="240" w:before="0" w:after="0"/>
        <w:contextualSpacing/>
        <w:jc w:val="both"/>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 xml:space="preserve">3.2.2.1. Проведение землеустройства в соответствии с решениями </w:t>
        <w:br/>
        <w:t>федеральных органов государственной власти</w:t>
      </w:r>
    </w:p>
    <w:p>
      <w:pPr>
        <w:pStyle w:val="Normal"/>
        <w:tabs>
          <w:tab w:val="clear" w:pos="708"/>
          <w:tab w:val="left" w:pos="6660" w:leader="none"/>
        </w:tabs>
        <w:spacing w:lineRule="auto" w:line="240" w:before="0" w:after="0"/>
        <w:jc w:val="both"/>
        <w:rPr>
          <w:rFonts w:ascii="Times New Roman" w:hAnsi="Times New Roman" w:eastAsia="Times New Roman" w:cs="Times New Roman"/>
          <w:spacing w:val="-6"/>
          <w:sz w:val="28"/>
          <w:szCs w:val="28"/>
        </w:rPr>
      </w:pPr>
      <w:r>
        <w:rPr>
          <w:rFonts w:eastAsia="Times New Roman" w:cs="Times New Roman" w:ascii="Times New Roman" w:hAnsi="Times New Roman"/>
          <w:spacing w:val="-6"/>
          <w:sz w:val="28"/>
          <w:szCs w:val="28"/>
        </w:rPr>
      </w:r>
    </w:p>
    <w:p>
      <w:pPr>
        <w:pStyle w:val="Normal"/>
        <w:tabs>
          <w:tab w:val="clear" w:pos="708"/>
          <w:tab w:val="left" w:pos="6660"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pacing w:val="-6"/>
          <w:sz w:val="28"/>
          <w:szCs w:val="28"/>
        </w:rPr>
        <w:t>В течение 2016</w:t>
      </w:r>
      <w:r>
        <w:rPr>
          <w:rFonts w:ascii="Times New Roman" w:hAnsi="Times New Roman"/>
          <w:spacing w:val="-6"/>
          <w:sz w:val="28"/>
          <w:szCs w:val="28"/>
        </w:rPr>
        <w:t xml:space="preserve"> года</w:t>
      </w:r>
      <w:r>
        <w:rPr>
          <w:rFonts w:eastAsia="Times New Roman" w:cs="Times New Roman" w:ascii="Times New Roman" w:hAnsi="Times New Roman"/>
          <w:spacing w:val="-6"/>
          <w:sz w:val="28"/>
          <w:szCs w:val="28"/>
        </w:rPr>
        <w:t xml:space="preserve"> </w:t>
      </w:r>
      <w:r>
        <w:rPr>
          <w:rFonts w:eastAsia="Times New Roman" w:cs="Times New Roman" w:ascii="Times New Roman" w:hAnsi="Times New Roman"/>
          <w:sz w:val="28"/>
          <w:szCs w:val="28"/>
        </w:rPr>
        <w:t>по решению федеральных органов государственной власти на территории Пр</w:t>
      </w:r>
      <w:r>
        <w:rPr>
          <w:rFonts w:ascii="Times New Roman" w:hAnsi="Times New Roman"/>
          <w:sz w:val="28"/>
          <w:szCs w:val="28"/>
        </w:rPr>
        <w:t>и</w:t>
      </w:r>
      <w:r>
        <w:rPr>
          <w:rFonts w:eastAsia="Times New Roman" w:cs="Times New Roman" w:ascii="Times New Roman" w:hAnsi="Times New Roman"/>
          <w:sz w:val="28"/>
          <w:szCs w:val="28"/>
        </w:rPr>
        <w:t>м</w:t>
      </w:r>
      <w:r>
        <w:rPr>
          <w:rFonts w:ascii="Times New Roman" w:hAnsi="Times New Roman"/>
          <w:sz w:val="28"/>
          <w:szCs w:val="28"/>
        </w:rPr>
        <w:t>ор</w:t>
      </w:r>
      <w:r>
        <w:rPr>
          <w:rFonts w:eastAsia="Times New Roman" w:cs="Times New Roman" w:ascii="Times New Roman" w:hAnsi="Times New Roman"/>
          <w:sz w:val="28"/>
          <w:szCs w:val="28"/>
        </w:rPr>
        <w:t>ского края землеустроительные работы не проводились.</w:t>
      </w:r>
    </w:p>
    <w:p>
      <w:pPr>
        <w:pStyle w:val="Normal"/>
        <w:spacing w:lineRule="auto" w:line="240" w:before="0" w:after="0"/>
        <w:contextualSpacing/>
        <w:jc w:val="both"/>
        <w:rPr>
          <w:rFonts w:ascii="Times New Roman" w:hAnsi="Times New Roman"/>
          <w:sz w:val="28"/>
          <w:szCs w:val="28"/>
        </w:rPr>
      </w:pPr>
      <w:r>
        <w:rPr>
          <w:rFonts w:ascii="Times New Roman" w:hAnsi="Times New Roman"/>
          <w:sz w:val="28"/>
          <w:szCs w:val="28"/>
        </w:rPr>
        <w:t>По сведениям, предоставленным администрациями муниципальных  образований Приморского края, в 2016 году на территории Приморского края проводились работы по описанию местоположения границ объектов землеустройства (административно-территориальных образований) за счет средств местных бюджетов. Выполнены работы в отношении 8 объектов землеустройства. Работа оплачена только по одному объекту  - стоимость составила 20 тыс. руб. В отношении остальных объектов работы не оплачены, так как контракт был заключен в отношении 22 населенных пунктов. По состоянию на 01.01.2017 работы в полном объеме не выполнены, акт завершения работ не подписан.</w:t>
      </w:r>
    </w:p>
    <w:p>
      <w:pPr>
        <w:pStyle w:val="Normal"/>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 xml:space="preserve">Проблемным вопросом в сфере землеустройства остается установление границ муниципальных образований, границ населенных пунктов с последующим их описанием и закреплением на местности точек границ с использованием их в дальнейшем не только в качестве пунктов опорной межевой сети, но и как исходный материал при подготовке документов территориального  планирования  и  инвентаризации земель. </w:t>
      </w:r>
    </w:p>
    <w:p>
      <w:pPr>
        <w:pStyle w:val="Normal"/>
        <w:spacing w:lineRule="auto" w:line="240" w:before="0" w:after="0"/>
        <w:contextualSpacing/>
        <w:jc w:val="both"/>
        <w:rPr>
          <w:rFonts w:ascii="Times New Roman" w:hAnsi="Times New Roman" w:cs="Times New Roman"/>
          <w:sz w:val="28"/>
          <w:szCs w:val="28"/>
        </w:rPr>
      </w:pPr>
      <w:r>
        <w:rPr>
          <w:rFonts w:ascii="Times New Roman" w:hAnsi="Times New Roman"/>
          <w:sz w:val="28"/>
          <w:szCs w:val="28"/>
        </w:rPr>
        <w:t>Кроме того, д</w:t>
      </w:r>
      <w:r>
        <w:rPr>
          <w:rFonts w:cs="Times New Roman" w:ascii="Times New Roman" w:hAnsi="Times New Roman"/>
          <w:sz w:val="28"/>
          <w:szCs w:val="28"/>
        </w:rPr>
        <w:t>ля приведения сведений государственного кадастра недвижимости о границах Приморского края в соответствие с границами Российской Федерации, необходимо проведение землеустроительных работ в отношении границы Российской Федерации.</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jc w:val="center"/>
        <w:rPr>
          <w:rFonts w:ascii="Times New Roman" w:hAnsi="Times New Roman" w:cs="Times New Roman"/>
          <w:b/>
          <w:b/>
          <w:sz w:val="28"/>
          <w:szCs w:val="28"/>
        </w:rPr>
      </w:pPr>
      <w:r>
        <w:rPr>
          <w:rFonts w:cs="Times New Roman" w:ascii="Times New Roman" w:hAnsi="Times New Roman"/>
          <w:b/>
          <w:sz w:val="28"/>
          <w:szCs w:val="28"/>
        </w:rPr>
        <w:t>3.2.2.2. Создание и ведение государственного фонда данных, полученных в результате проведения землеустройства</w:t>
      </w:r>
    </w:p>
    <w:p>
      <w:pPr>
        <w:pStyle w:val="Normal"/>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На территории Приморского края ведение государственно фонда данных, полученных в результате проведения землеустройства, (далее – ГФДЗ) осуществляется в соответствии с Приказом Минэкономразвития РФ от 14.11.2006 № 376 «Об утверждении Административного регламента Федерального агентства кадастра объектов недвижимости по предоставлению государственной услуги «Ведение государственного фонда данных, полученных в результате проведения землеустройства» (далее – Административный регламент) и иными нормативными правовыми актами.</w:t>
      </w:r>
    </w:p>
    <w:p>
      <w:pPr>
        <w:pStyle w:val="Normal"/>
        <w:spacing w:lineRule="auto" w:line="240" w:before="0" w:after="0"/>
        <w:contextualSpacing/>
        <w:jc w:val="both"/>
        <w:rPr>
          <w:rFonts w:ascii="Times New Roman" w:hAnsi="Times New Roman" w:eastAsia="Calibri" w:cs="Times New Roman" w:eastAsiaTheme="minorHAnsi"/>
          <w:sz w:val="28"/>
          <w:szCs w:val="28"/>
          <w:lang w:eastAsia="en-US"/>
        </w:rPr>
      </w:pPr>
      <w:r>
        <w:rPr>
          <w:rFonts w:cs="Times New Roman" w:ascii="Times New Roman" w:hAnsi="Times New Roman"/>
          <w:sz w:val="28"/>
          <w:szCs w:val="28"/>
        </w:rPr>
        <w:t xml:space="preserve">На территории Приморского края в 2016 году предоставление государственной услуги «Ведение государственного фонда данных, полученных в результате проведения землеустройства» осуществлялось Управлением в соответствии с </w:t>
      </w:r>
      <w:r>
        <w:rPr>
          <w:rFonts w:eastAsia="Calibri" w:cs="Times New Roman" w:ascii="Times New Roman" w:hAnsi="Times New Roman" w:eastAsiaTheme="minorHAnsi"/>
          <w:sz w:val="28"/>
          <w:szCs w:val="28"/>
          <w:lang w:eastAsia="en-US"/>
        </w:rPr>
        <w:t>Положением об Управлении Росреестра по Приморскому краю, утвержденным приказом Росреестра от 28.10.2009 № 314, в зависимости от территориального распределения подразделений Управления, а именно: по г. Владивостоку и Надеждинскому муниципальному району документы ГФДЗ предоставляются отделом землеустройства, мониторинга земель и кадастровой оценки недвижимости Управления, по другим городам и районам Приморского края – территориальными (межмуниципальными) отделами.</w:t>
      </w:r>
    </w:p>
    <w:p>
      <w:pPr>
        <w:pStyle w:val="Normal"/>
        <w:spacing w:lineRule="auto" w:line="240" w:before="0" w:after="0"/>
        <w:contextualSpacing/>
        <w:jc w:val="both"/>
        <w:rPr>
          <w:rFonts w:ascii="Times New Roman" w:hAnsi="Times New Roman" w:cs="Arial"/>
          <w:color w:val="000000"/>
          <w:sz w:val="28"/>
        </w:rPr>
      </w:pPr>
      <w:r>
        <w:rPr>
          <w:rFonts w:ascii="Times New Roman" w:hAnsi="Times New Roman"/>
          <w:sz w:val="28"/>
          <w:szCs w:val="28"/>
        </w:rPr>
        <w:t xml:space="preserve">Пополнение ГФДЗ происходит за счет того, что лица, </w:t>
      </w:r>
      <w:r>
        <w:rPr>
          <w:rFonts w:cs="Arial" w:ascii="Times New Roman" w:hAnsi="Times New Roman"/>
          <w:color w:val="000000"/>
          <w:sz w:val="28"/>
        </w:rPr>
        <w:t>осуществляющие проведение землеустройства, обязаны бесплатно передать экземпляр подготовленной ими землеустроительной документации.</w:t>
      </w:r>
    </w:p>
    <w:p>
      <w:pPr>
        <w:pStyle w:val="Normal"/>
        <w:spacing w:lineRule="auto" w:line="240" w:before="0" w:after="0"/>
        <w:contextualSpacing/>
        <w:jc w:val="both"/>
        <w:rPr>
          <w:rFonts w:ascii="Times New Roman" w:hAnsi="Times New Roman" w:eastAsia="Times New Roman" w:cs="Times New Roman"/>
          <w:sz w:val="28"/>
          <w:szCs w:val="28"/>
        </w:rPr>
      </w:pPr>
      <w:r>
        <w:rPr>
          <w:rFonts w:eastAsia="Calibri" w:cs="Times New Roman" w:ascii="Times New Roman" w:hAnsi="Times New Roman"/>
          <w:sz w:val="28"/>
          <w:szCs w:val="28"/>
        </w:rPr>
        <w:t xml:space="preserve">В 2016 году в ГФДЗ  поступило 158 единиц хранения. </w:t>
      </w:r>
      <w:r>
        <w:rPr>
          <w:rFonts w:eastAsia="Times New Roman" w:cs="Times New Roman" w:ascii="Times New Roman" w:hAnsi="Times New Roman"/>
          <w:sz w:val="28"/>
          <w:szCs w:val="28"/>
        </w:rPr>
        <w:t>По  сравнению с 2015 годом количество поступивших документов уменьшилось на 60%, или на 234 единицы.</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Значительное уменьшение количества поступивших в ГФДЗ документов в 2016 году связано с внесением изменений в законодательство.</w:t>
      </w:r>
    </w:p>
    <w:p>
      <w:pPr>
        <w:pStyle w:val="Normal"/>
        <w:spacing w:lineRule="auto" w:line="240" w:before="0" w:after="0"/>
        <w:jc w:val="both"/>
        <w:rPr>
          <w:rFonts w:ascii="Times New Roman" w:hAnsi="Times New Roman" w:cs="Times New Roman"/>
          <w:sz w:val="28"/>
          <w:szCs w:val="28"/>
        </w:rPr>
      </w:pPr>
      <w:r>
        <w:rPr>
          <w:rFonts w:eastAsia="Times New Roman" w:cs="Times New Roman" w:ascii="Times New Roman" w:hAnsi="Times New Roman"/>
          <w:sz w:val="28"/>
          <w:szCs w:val="28"/>
        </w:rPr>
        <w:t xml:space="preserve">Статьей 2 Федерального закона от 13.07.2015 N 252-ФЗ "О внесении изменений в Земельный кодекс Российской Федерации и отдельные законодательные акты Российской Федерации" внесены изменения в статью 1 </w:t>
      </w:r>
      <w:r>
        <w:rPr>
          <w:rFonts w:cs="Times New Roman" w:ascii="Times New Roman" w:hAnsi="Times New Roman"/>
          <w:sz w:val="28"/>
          <w:szCs w:val="28"/>
        </w:rPr>
        <w:t>Федерального закона от 18 июня 2001 года N 78-ФЗ "О землеустройстве". С 01.01.2016 зоны с особыми условиями использования территорий были исключены из объектов землеустройства. В связи с чем, с 01.01.2016 земелеустроительная документация в отношении зон с особыми условиями использования территории не составляется.</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Динамика поступления документации в государственный фонд данных с 2012 года представлена ниже в сравнительной таблице.</w:t>
      </w:r>
    </w:p>
    <w:p>
      <w:pPr>
        <w:pStyle w:val="Normal"/>
        <w:spacing w:lineRule="auto" w:line="240" w:before="0" w:after="0"/>
        <w:contextualSpacing/>
        <w:jc w:val="both"/>
        <w:rPr>
          <w:rFonts w:ascii="Times New Roman" w:hAnsi="Times New Roman" w:eastAsia="" w:cs="Times New Roman" w:eastAsiaTheme="majorEastAsia"/>
          <w:sz w:val="28"/>
          <w:szCs w:val="28"/>
          <w:lang w:eastAsia="en-US" w:bidi="en-US"/>
        </w:rPr>
      </w:pPr>
      <w:r>
        <w:rPr>
          <w:rFonts w:eastAsia="" w:cs="Times New Roman" w:eastAsiaTheme="majorEastAsia" w:ascii="Times New Roman" w:hAnsi="Times New Roman"/>
          <w:sz w:val="28"/>
          <w:szCs w:val="28"/>
          <w:lang w:eastAsia="en-US" w:bidi="en-US"/>
        </w:rPr>
      </w:r>
    </w:p>
    <w:tbl>
      <w:tblPr>
        <w:tblW w:w="946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893"/>
        <w:gridCol w:w="1893"/>
        <w:gridCol w:w="1893"/>
        <w:gridCol w:w="1893"/>
        <w:gridCol w:w="1893"/>
      </w:tblGrid>
      <w:tr>
        <w:trPr>
          <w:trHeight w:val="575" w:hRule="atLeast"/>
        </w:trPr>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2012</w:t>
            </w:r>
          </w:p>
        </w:tc>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2013</w:t>
            </w:r>
          </w:p>
        </w:tc>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2014</w:t>
            </w:r>
          </w:p>
        </w:tc>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2015</w:t>
            </w:r>
          </w:p>
        </w:tc>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2016</w:t>
            </w:r>
          </w:p>
        </w:tc>
      </w:tr>
      <w:tr>
        <w:trPr>
          <w:trHeight w:val="555" w:hRule="atLeast"/>
        </w:trPr>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59</w:t>
            </w:r>
          </w:p>
        </w:tc>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179</w:t>
            </w:r>
          </w:p>
        </w:tc>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458</w:t>
            </w:r>
          </w:p>
        </w:tc>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392</w:t>
            </w:r>
          </w:p>
        </w:tc>
        <w:tc>
          <w:tcPr>
            <w:tcW w:w="18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158</w:t>
            </w:r>
          </w:p>
        </w:tc>
      </w:tr>
    </w:tbl>
    <w:p>
      <w:pPr>
        <w:pStyle w:val="Normal"/>
        <w:spacing w:lineRule="auto" w:line="240" w:before="0" w:after="0"/>
        <w:contextualSpacing/>
        <w:jc w:val="both"/>
        <w:rPr>
          <w:rFonts w:ascii="Times New Roman" w:hAnsi="Times New Roman" w:eastAsia="" w:cs="Times New Roman" w:eastAsiaTheme="majorEastAsia"/>
          <w:sz w:val="28"/>
          <w:szCs w:val="28"/>
          <w:lang w:val="en-US" w:eastAsia="en-US" w:bidi="en-US"/>
        </w:rPr>
      </w:pPr>
      <w:r>
        <w:rPr>
          <w:rFonts w:eastAsia="" w:cs="Times New Roman" w:eastAsiaTheme="majorEastAsia" w:ascii="Times New Roman" w:hAnsi="Times New Roman"/>
          <w:sz w:val="28"/>
          <w:szCs w:val="28"/>
          <w:lang w:val="en-US" w:eastAsia="en-US" w:bidi="en-US"/>
        </w:rPr>
      </w:r>
    </w:p>
    <w:p>
      <w:pPr>
        <w:pStyle w:val="Normal"/>
        <w:spacing w:lineRule="auto" w:line="240" w:before="0" w:after="0"/>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В 2016 году поступление составили землеустроительные дела по описанию местоположения границ населенных пунктов, территориальных зон, а также годовые статистические отчеты по муниципальным образованиям Приморского края «Сведения о наличии и распределении земель по категориям, угодьям и формам собственности». </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Общее количество дел, находящихся на хранении в Управлении, по состоянию на 01.01.2017 составило 107191 единиц хранения.</w:t>
      </w:r>
    </w:p>
    <w:p>
      <w:pPr>
        <w:pStyle w:val="Normal"/>
        <w:numPr>
          <w:ilvl w:val="0"/>
          <w:numId w:val="0"/>
        </w:numPr>
        <w:spacing w:lineRule="auto" w:line="240" w:before="0" w:after="0"/>
        <w:contextualSpacing/>
        <w:jc w:val="both"/>
        <w:outlineLvl w:val="1"/>
        <w:rPr>
          <w:rFonts w:ascii="Times New Roman" w:hAnsi="Times New Roman" w:cs="Times New Roman"/>
          <w:sz w:val="28"/>
          <w:szCs w:val="28"/>
        </w:rPr>
      </w:pPr>
      <w:r>
        <w:rPr>
          <w:rFonts w:cs="Times New Roman" w:ascii="Times New Roman" w:hAnsi="Times New Roman"/>
          <w:sz w:val="28"/>
          <w:szCs w:val="28"/>
        </w:rPr>
        <w:t>В соответствии с Административным регламентом информация о документах государственного фонда данных, их наличии, порядке и условиях доступа к ним носит открытый характер.</w:t>
      </w:r>
    </w:p>
    <w:p>
      <w:pPr>
        <w:pStyle w:val="Normal"/>
        <w:spacing w:lineRule="auto" w:line="240" w:before="0" w:after="0"/>
        <w:jc w:val="both"/>
        <w:rPr>
          <w:rFonts w:ascii="Times New Roman" w:hAnsi="Times New Roman" w:eastAsia="Times New Roman" w:cs="Times New Roman"/>
          <w:sz w:val="28"/>
          <w:szCs w:val="28"/>
        </w:rPr>
      </w:pPr>
      <w:r>
        <w:rPr>
          <w:rFonts w:cs="Times New Roman" w:ascii="Times New Roman" w:hAnsi="Times New Roman"/>
          <w:sz w:val="28"/>
          <w:szCs w:val="28"/>
        </w:rPr>
        <w:t xml:space="preserve">По данным ежегодной статистической отчетности </w:t>
      </w:r>
      <w:r>
        <w:rPr>
          <w:rFonts w:eastAsia="Times New Roman" w:cs="Times New Roman" w:ascii="Times New Roman" w:hAnsi="Times New Roman"/>
          <w:sz w:val="28"/>
          <w:szCs w:val="26"/>
        </w:rPr>
        <w:t>по форме № 7-ПЗ «Отчет по вопросам землеустройства», предоставляемый в Росреестр, в</w:t>
      </w:r>
      <w:r>
        <w:rPr>
          <w:rFonts w:eastAsia="Times New Roman" w:cs="Times New Roman"/>
          <w:sz w:val="28"/>
          <w:szCs w:val="28"/>
        </w:rPr>
        <w:t xml:space="preserve"> </w:t>
      </w:r>
      <w:r>
        <w:rPr>
          <w:rFonts w:eastAsia="Times New Roman" w:cs="Times New Roman" w:ascii="Times New Roman" w:hAnsi="Times New Roman"/>
          <w:sz w:val="28"/>
          <w:szCs w:val="28"/>
        </w:rPr>
        <w:t>2016 году в ГФДЗ было запрошено 1384 документа, при этом заинтересованным лицам было предоставлено 639 документов, что составило 46%.</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Активными пользователями ресурсов ГФДЗ являются филиал ФГБУ «ФКП Росреестра» по Приморскому краю и кадастровые инженеры. </w:t>
      </w:r>
    </w:p>
    <w:p>
      <w:pPr>
        <w:pStyle w:val="Normal"/>
        <w:spacing w:lineRule="auto" w:line="240" w:before="0" w:after="0"/>
        <w:jc w:val="both"/>
        <w:rPr>
          <w:rFonts w:ascii="Times New Roman" w:hAnsi="Times New Roman" w:cs="Times New Roman"/>
          <w:sz w:val="28"/>
          <w:szCs w:val="28"/>
        </w:rPr>
      </w:pPr>
      <w:r>
        <w:rPr>
          <w:rFonts w:eastAsia="Times New Roman" w:cs="Times New Roman" w:ascii="Times New Roman" w:hAnsi="Times New Roman"/>
          <w:sz w:val="28"/>
          <w:szCs w:val="28"/>
        </w:rPr>
        <w:tab/>
      </w:r>
      <w:r>
        <w:rPr>
          <w:rFonts w:cs="Times New Roman" w:ascii="Times New Roman" w:hAnsi="Times New Roman"/>
          <w:sz w:val="28"/>
          <w:szCs w:val="28"/>
        </w:rPr>
        <w:t>Динамика поступления обращений заинтересованных лиц в государственный фонд данных в период 2011 – 2015 годы приведена в сравнительной таблице.</w:t>
      </w:r>
    </w:p>
    <w:tbl>
      <w:tblPr>
        <w:tblW w:w="891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782"/>
        <w:gridCol w:w="1782"/>
        <w:gridCol w:w="1782"/>
        <w:gridCol w:w="1782"/>
        <w:gridCol w:w="1782"/>
      </w:tblGrid>
      <w:tr>
        <w:trPr>
          <w:trHeight w:val="661" w:hRule="atLeast"/>
        </w:trPr>
        <w:tc>
          <w:tcPr>
            <w:tcW w:w="17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2012 год</w:t>
            </w:r>
          </w:p>
        </w:tc>
        <w:tc>
          <w:tcPr>
            <w:tcW w:w="17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2013 год</w:t>
            </w:r>
          </w:p>
        </w:tc>
        <w:tc>
          <w:tcPr>
            <w:tcW w:w="17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2014 год</w:t>
            </w:r>
          </w:p>
        </w:tc>
        <w:tc>
          <w:tcPr>
            <w:tcW w:w="17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2015 год</w:t>
            </w:r>
          </w:p>
        </w:tc>
        <w:tc>
          <w:tcPr>
            <w:tcW w:w="17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2016 год</w:t>
            </w:r>
          </w:p>
        </w:tc>
      </w:tr>
      <w:tr>
        <w:trPr>
          <w:trHeight w:val="569" w:hRule="atLeast"/>
        </w:trPr>
        <w:tc>
          <w:tcPr>
            <w:tcW w:w="17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791</w:t>
            </w:r>
          </w:p>
        </w:tc>
        <w:tc>
          <w:tcPr>
            <w:tcW w:w="17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546</w:t>
            </w:r>
          </w:p>
        </w:tc>
        <w:tc>
          <w:tcPr>
            <w:tcW w:w="17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524</w:t>
            </w:r>
          </w:p>
        </w:tc>
        <w:tc>
          <w:tcPr>
            <w:tcW w:w="17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1674</w:t>
            </w:r>
          </w:p>
        </w:tc>
        <w:tc>
          <w:tcPr>
            <w:tcW w:w="17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1384</w:t>
            </w:r>
          </w:p>
        </w:tc>
      </w:tr>
    </w:tbl>
    <w:p>
      <w:pPr>
        <w:pStyle w:val="Normal"/>
        <w:spacing w:lineRule="auto" w:line="240" w:before="0" w:after="0"/>
        <w:contextualSpacing/>
        <w:jc w:val="both"/>
        <w:rPr>
          <w:rFonts w:ascii="Times New Roman" w:hAnsi="Times New Roman" w:eastAsia="" w:cs="" w:cstheme="majorBidi" w:eastAsiaTheme="majorEastAsia"/>
          <w:sz w:val="28"/>
          <w:szCs w:val="28"/>
          <w:lang w:eastAsia="en-US" w:bidi="en-US"/>
        </w:rPr>
      </w:pPr>
      <w:r>
        <w:rPr>
          <w:rFonts w:eastAsia="" w:cs="" w:cstheme="majorBidi" w:eastAsiaTheme="majorEastAsia" w:ascii="Times New Roman" w:hAnsi="Times New Roman"/>
          <w:sz w:val="28"/>
          <w:szCs w:val="28"/>
          <w:lang w:eastAsia="en-US" w:bidi="en-US"/>
        </w:rPr>
      </w:r>
    </w:p>
    <w:p>
      <w:pPr>
        <w:pStyle w:val="Normal"/>
        <w:spacing w:lineRule="auto" w:line="240" w:before="0" w:after="0"/>
        <w:jc w:val="both"/>
        <w:rPr>
          <w:rFonts w:ascii="Times New Roman" w:hAnsi="Times New Roman" w:eastAsia="Calibri" w:cs="Times New Roman"/>
          <w:sz w:val="28"/>
          <w:szCs w:val="28"/>
        </w:rPr>
      </w:pPr>
      <w:r>
        <w:rPr>
          <w:rFonts w:eastAsia="Calibri" w:cs="Times New Roman" w:ascii="Times New Roman" w:hAnsi="Times New Roman"/>
          <w:sz w:val="28"/>
          <w:szCs w:val="28"/>
        </w:rPr>
        <w:tab/>
        <w:t xml:space="preserve">Наиболее востребованными в 2016 году были землеустроительные дела. </w:t>
      </w:r>
    </w:p>
    <w:p>
      <w:pPr>
        <w:pStyle w:val="Normal"/>
        <w:spacing w:lineRule="auto" w:line="240" w:before="0" w:after="0"/>
        <w:jc w:val="both"/>
        <w:rPr>
          <w:rFonts w:ascii="Times New Roman" w:hAnsi="Times New Roman" w:eastAsia="Times New Roman" w:cs="Times New Roman"/>
          <w:sz w:val="28"/>
          <w:szCs w:val="28"/>
        </w:rPr>
      </w:pPr>
      <w:r>
        <w:rPr>
          <w:rFonts w:eastAsia="Calibri" w:cs="Times New Roman" w:ascii="Times New Roman" w:hAnsi="Times New Roman"/>
          <w:sz w:val="28"/>
          <w:szCs w:val="28"/>
        </w:rPr>
        <w:tab/>
      </w:r>
      <w:r>
        <w:rPr>
          <w:rFonts w:eastAsia="Times New Roman" w:cs="Times New Roman" w:ascii="Times New Roman" w:hAnsi="Times New Roman"/>
          <w:sz w:val="28"/>
          <w:szCs w:val="28"/>
        </w:rPr>
        <w:t xml:space="preserve">Все обращения исполнены в установленный срок, с представлением имеющихся копий документов. </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ab/>
        <w:t>Обращений о ненадлежащем исполнении Управлением  государственной услуги по ведению государственного фонда данных не поступало.</w:t>
      </w:r>
    </w:p>
    <w:p>
      <w:pPr>
        <w:pStyle w:val="Normal"/>
        <w:spacing w:lineRule="auto" w:line="240" w:before="0" w:after="0"/>
        <w:jc w:val="both"/>
        <w:rPr>
          <w:rFonts w:ascii="Times New Roman" w:hAnsi="Times New Roman" w:cs="Times New Roman"/>
          <w:sz w:val="28"/>
          <w:szCs w:val="28"/>
        </w:rPr>
      </w:pPr>
      <w:r>
        <w:rPr>
          <w:rFonts w:eastAsia="Calibri" w:cs="Times New Roman" w:ascii="Times New Roman" w:hAnsi="Times New Roman"/>
          <w:sz w:val="28"/>
          <w:szCs w:val="28"/>
        </w:rPr>
        <w:tab/>
      </w:r>
      <w:r>
        <w:rPr>
          <w:rFonts w:cs="Times New Roman" w:ascii="Times New Roman" w:hAnsi="Times New Roman"/>
          <w:sz w:val="28"/>
          <w:szCs w:val="28"/>
        </w:rPr>
        <w:t>Обзор количества обращений заинтересованных лиц в государственный фонд данных и их исполнение приведен в таблице 14.</w:t>
      </w:r>
    </w:p>
    <w:p>
      <w:pPr>
        <w:pStyle w:val="Normal"/>
        <w:spacing w:lineRule="auto" w:line="240" w:before="0" w:after="0"/>
        <w:jc w:val="both"/>
        <w:rPr>
          <w:rFonts w:ascii="Times New Roman" w:hAnsi="Times New Roman" w:eastAsia="Times New Roman" w:cs="Times New Roman"/>
          <w:sz w:val="28"/>
          <w:szCs w:val="26"/>
        </w:rPr>
      </w:pPr>
      <w:r>
        <w:rPr>
          <w:rFonts w:eastAsia="Times New Roman" w:cs="Times New Roman" w:ascii="Times New Roman" w:hAnsi="Times New Roman"/>
          <w:sz w:val="28"/>
          <w:szCs w:val="26"/>
        </w:rPr>
      </w:r>
    </w:p>
    <w:p>
      <w:pPr>
        <w:pStyle w:val="Normal"/>
        <w:spacing w:lineRule="auto" w:line="240" w:before="0" w:after="0"/>
        <w:jc w:val="both"/>
        <w:rPr>
          <w:rFonts w:ascii="Times New Roman" w:hAnsi="Times New Roman" w:eastAsia="Times New Roman" w:cs="Times New Roman"/>
          <w:sz w:val="28"/>
          <w:szCs w:val="26"/>
        </w:rPr>
      </w:pPr>
      <w:r>
        <w:rPr>
          <w:rFonts w:eastAsia="Times New Roman" w:cs="Times New Roman" w:ascii="Times New Roman" w:hAnsi="Times New Roman"/>
          <w:sz w:val="28"/>
          <w:szCs w:val="26"/>
        </w:rPr>
      </w:r>
    </w:p>
    <w:p>
      <w:pPr>
        <w:pStyle w:val="Normal"/>
        <w:spacing w:lineRule="auto" w:line="240" w:before="0" w:after="0"/>
        <w:jc w:val="center"/>
        <w:rPr>
          <w:rFonts w:ascii="Times New Roman" w:hAnsi="Times New Roman" w:eastAsia="" w:cs="Times New Roman" w:eastAsiaTheme="majorEastAsia"/>
          <w:b/>
          <w:b/>
          <w:sz w:val="24"/>
          <w:szCs w:val="24"/>
          <w:lang w:eastAsia="en-US" w:bidi="en-US"/>
        </w:rPr>
      </w:pPr>
      <w:r>
        <w:rPr>
          <w:rFonts w:eastAsia="" w:cs="Times New Roman" w:ascii="Times New Roman" w:hAnsi="Times New Roman" w:eastAsiaTheme="majorEastAsia"/>
          <w:b/>
          <w:sz w:val="24"/>
          <w:szCs w:val="24"/>
          <w:lang w:eastAsia="en-US" w:bidi="en-US"/>
        </w:rPr>
        <w:t>Использование государственного фонда данных, полученных в результате   проведения землеустройства на территории Приморского края в 2016 году</w:t>
      </w:r>
    </w:p>
    <w:p>
      <w:pPr>
        <w:pStyle w:val="Normal"/>
        <w:spacing w:lineRule="auto" w:line="240" w:before="0" w:after="0"/>
        <w:jc w:val="center"/>
        <w:rPr>
          <w:rFonts w:ascii="Times New Roman" w:hAnsi="Times New Roman" w:eastAsia="" w:cs="Times New Roman" w:eastAsiaTheme="majorEastAsia"/>
          <w:b/>
          <w:b/>
          <w:sz w:val="24"/>
          <w:szCs w:val="24"/>
          <w:lang w:eastAsia="en-US" w:bidi="en-US"/>
        </w:rPr>
      </w:pPr>
      <w:r>
        <w:rPr>
          <w:rFonts w:eastAsia="" w:cs="Times New Roman" w:eastAsiaTheme="majorEastAsia" w:ascii="Times New Roman" w:hAnsi="Times New Roman"/>
          <w:b/>
          <w:sz w:val="24"/>
          <w:szCs w:val="24"/>
          <w:lang w:eastAsia="en-US" w:bidi="en-US"/>
        </w:rPr>
      </w:r>
    </w:p>
    <w:p>
      <w:pPr>
        <w:pStyle w:val="Normal"/>
        <w:spacing w:lineRule="auto" w:line="360" w:before="0" w:after="0"/>
        <w:jc w:val="right"/>
        <w:rPr>
          <w:rFonts w:ascii="Times New Roman" w:hAnsi="Times New Roman" w:eastAsia="Times New Roman" w:cs="Times New Roman"/>
          <w:sz w:val="24"/>
          <w:szCs w:val="24"/>
        </w:rPr>
      </w:pPr>
      <w:r>
        <w:rPr>
          <w:rFonts w:cs="Times New Roman" w:ascii="Times New Roman" w:hAnsi="Times New Roman"/>
          <w:sz w:val="24"/>
          <w:szCs w:val="24"/>
        </w:rPr>
        <w:t>Таблица 14</w:t>
      </w:r>
    </w:p>
    <w:tbl>
      <w:tblPr>
        <w:tblW w:w="939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33"/>
        <w:gridCol w:w="5244"/>
        <w:gridCol w:w="1985"/>
        <w:gridCol w:w="1633"/>
      </w:tblGrid>
      <w:tr>
        <w:trPr>
          <w:trHeight w:val="255" w:hRule="atLeast"/>
        </w:trPr>
        <w:tc>
          <w:tcPr>
            <w:tcW w:w="5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eastAsiaTheme="majorEastAsia" w:ascii="Times New Roman" w:hAnsi="Times New Roman"/>
                <w:sz w:val="24"/>
                <w:szCs w:val="20"/>
                <w:lang w:eastAsia="en-US" w:bidi="en-US"/>
              </w:rPr>
            </w:r>
          </w:p>
        </w:tc>
        <w:tc>
          <w:tcPr>
            <w:tcW w:w="524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val="en-US" w:eastAsia="en-US" w:bidi="en-US"/>
              </w:rPr>
            </w:pPr>
            <w:r>
              <w:rPr>
                <w:rFonts w:eastAsia="" w:cs="Times New Roman" w:ascii="Times New Roman" w:hAnsi="Times New Roman" w:eastAsiaTheme="majorEastAsia"/>
                <w:sz w:val="24"/>
                <w:szCs w:val="20"/>
                <w:lang w:eastAsia="en-US" w:bidi="en-US"/>
              </w:rPr>
              <w:t>Наименование материалов</w:t>
            </w:r>
          </w:p>
        </w:tc>
        <w:tc>
          <w:tcPr>
            <w:tcW w:w="361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Предоставление заинтересованным лицам материалов государственного фонда данных, полученных в результате проведения землеустройства</w:t>
            </w:r>
          </w:p>
        </w:tc>
      </w:tr>
      <w:tr>
        <w:trPr>
          <w:trHeight w:val="783" w:hRule="atLeast"/>
        </w:trPr>
        <w:tc>
          <w:tcPr>
            <w:tcW w:w="53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eastAsiaTheme="majorEastAsia" w:ascii="Times New Roman" w:hAnsi="Times New Roman"/>
                <w:sz w:val="24"/>
                <w:szCs w:val="20"/>
                <w:lang w:eastAsia="en-US" w:bidi="en-US"/>
              </w:rPr>
            </w:r>
          </w:p>
        </w:tc>
        <w:tc>
          <w:tcPr>
            <w:tcW w:w="52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eastAsiaTheme="majorEastAsia" w:ascii="Times New Roman" w:hAnsi="Times New Roman"/>
                <w:sz w:val="24"/>
                <w:szCs w:val="20"/>
                <w:lang w:eastAsia="en-US" w:bidi="en-US"/>
              </w:rPr>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Количество запрошенных материалов</w:t>
            </w:r>
          </w:p>
        </w:tc>
        <w:tc>
          <w:tcPr>
            <w:tcW w:w="16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Количество предоставленных материалов</w:t>
            </w:r>
          </w:p>
        </w:tc>
      </w:tr>
      <w:tr>
        <w:trPr>
          <w:trHeight w:val="255"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1</w:t>
            </w:r>
          </w:p>
        </w:tc>
        <w:tc>
          <w:tcPr>
            <w:tcW w:w="5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2</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3</w:t>
            </w:r>
          </w:p>
        </w:tc>
        <w:tc>
          <w:tcPr>
            <w:tcW w:w="16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4</w:t>
            </w:r>
          </w:p>
        </w:tc>
      </w:tr>
      <w:tr>
        <w:trPr>
          <w:trHeight w:val="255" w:hRule="atLeast"/>
        </w:trPr>
        <w:tc>
          <w:tcPr>
            <w:tcW w:w="53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1</w:t>
            </w:r>
          </w:p>
        </w:tc>
        <w:tc>
          <w:tcPr>
            <w:tcW w:w="5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Изучение состояния земель, из них:</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241</w:t>
            </w:r>
          </w:p>
        </w:tc>
        <w:tc>
          <w:tcPr>
            <w:tcW w:w="16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214</w:t>
            </w:r>
          </w:p>
        </w:tc>
      </w:tr>
      <w:tr>
        <w:trPr>
          <w:trHeight w:val="510" w:hRule="atLeast"/>
        </w:trPr>
        <w:tc>
          <w:tcPr>
            <w:tcW w:w="5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eastAsiaTheme="majorEastAsia" w:ascii="Times New Roman" w:hAnsi="Times New Roman"/>
                <w:sz w:val="24"/>
                <w:szCs w:val="20"/>
                <w:lang w:eastAsia="en-US" w:bidi="en-US"/>
              </w:rPr>
            </w:r>
          </w:p>
        </w:tc>
        <w:tc>
          <w:tcPr>
            <w:tcW w:w="5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картографические материалы и материалы дистанционного зондирования</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16</w:t>
            </w:r>
          </w:p>
        </w:tc>
        <w:tc>
          <w:tcPr>
            <w:tcW w:w="16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1</w:t>
            </w:r>
          </w:p>
        </w:tc>
      </w:tr>
      <w:tr>
        <w:trPr>
          <w:trHeight w:val="510" w:hRule="atLeast"/>
        </w:trPr>
        <w:tc>
          <w:tcPr>
            <w:tcW w:w="5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eastAsiaTheme="majorEastAsia" w:ascii="Times New Roman" w:hAnsi="Times New Roman"/>
                <w:sz w:val="24"/>
                <w:szCs w:val="20"/>
                <w:lang w:eastAsia="en-US" w:bidi="en-US"/>
              </w:rPr>
            </w:r>
          </w:p>
        </w:tc>
        <w:tc>
          <w:tcPr>
            <w:tcW w:w="5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материалы почвенных, геоботанических и других обследований</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8</w:t>
            </w:r>
          </w:p>
        </w:tc>
        <w:tc>
          <w:tcPr>
            <w:tcW w:w="16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8</w:t>
            </w:r>
          </w:p>
        </w:tc>
      </w:tr>
      <w:tr>
        <w:trPr>
          <w:trHeight w:val="255" w:hRule="atLeast"/>
        </w:trPr>
        <w:tc>
          <w:tcPr>
            <w:tcW w:w="5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eastAsiaTheme="majorEastAsia" w:ascii="Times New Roman" w:hAnsi="Times New Roman"/>
                <w:sz w:val="24"/>
                <w:szCs w:val="20"/>
                <w:lang w:eastAsia="en-US" w:bidi="en-US"/>
              </w:rPr>
            </w:r>
          </w:p>
        </w:tc>
        <w:tc>
          <w:tcPr>
            <w:tcW w:w="5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 w:cs="Times New Roman" w:eastAsiaTheme="majorEastAsia"/>
                <w:sz w:val="24"/>
                <w:szCs w:val="20"/>
                <w:lang w:val="en-US" w:eastAsia="en-US" w:bidi="en-US"/>
              </w:rPr>
            </w:pPr>
            <w:r>
              <w:rPr>
                <w:rFonts w:eastAsia="" w:cs="Times New Roman" w:ascii="Times New Roman" w:hAnsi="Times New Roman" w:eastAsiaTheme="majorEastAsia"/>
                <w:sz w:val="24"/>
                <w:szCs w:val="20"/>
                <w:lang w:eastAsia="en-US" w:bidi="en-US"/>
              </w:rPr>
              <w:t>материалы инвентаризации земель</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183</w:t>
            </w:r>
          </w:p>
        </w:tc>
        <w:tc>
          <w:tcPr>
            <w:tcW w:w="16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174</w:t>
            </w:r>
          </w:p>
        </w:tc>
      </w:tr>
      <w:tr>
        <w:trPr>
          <w:trHeight w:val="510" w:hRule="atLeast"/>
        </w:trPr>
        <w:tc>
          <w:tcPr>
            <w:tcW w:w="5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2</w:t>
            </w:r>
          </w:p>
        </w:tc>
        <w:tc>
          <w:tcPr>
            <w:tcW w:w="5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Планирование и организация рационального использования земель и их охраны, из них:</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w:t>
            </w:r>
          </w:p>
        </w:tc>
        <w:tc>
          <w:tcPr>
            <w:tcW w:w="16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w:t>
            </w:r>
          </w:p>
        </w:tc>
      </w:tr>
      <w:tr>
        <w:trPr>
          <w:trHeight w:val="307" w:hRule="atLeast"/>
        </w:trPr>
        <w:tc>
          <w:tcPr>
            <w:tcW w:w="53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3</w:t>
            </w:r>
          </w:p>
        </w:tc>
        <w:tc>
          <w:tcPr>
            <w:tcW w:w="5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Составление проектов землеустройства, из них:</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1126</w:t>
            </w:r>
          </w:p>
        </w:tc>
        <w:tc>
          <w:tcPr>
            <w:tcW w:w="16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410</w:t>
            </w:r>
          </w:p>
        </w:tc>
      </w:tr>
      <w:tr>
        <w:trPr>
          <w:trHeight w:val="595" w:hRule="atLeast"/>
        </w:trPr>
        <w:tc>
          <w:tcPr>
            <w:tcW w:w="5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eastAsiaTheme="majorEastAsia" w:ascii="Times New Roman" w:hAnsi="Times New Roman"/>
                <w:sz w:val="24"/>
                <w:szCs w:val="20"/>
                <w:lang w:eastAsia="en-US" w:bidi="en-US"/>
              </w:rPr>
            </w:r>
          </w:p>
        </w:tc>
        <w:tc>
          <w:tcPr>
            <w:tcW w:w="5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проекты перераспределения земель сельскохозяйственного назначения</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19</w:t>
            </w:r>
          </w:p>
        </w:tc>
        <w:tc>
          <w:tcPr>
            <w:tcW w:w="16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18</w:t>
            </w:r>
          </w:p>
        </w:tc>
      </w:tr>
      <w:tr>
        <w:trPr>
          <w:trHeight w:val="255" w:hRule="atLeast"/>
        </w:trPr>
        <w:tc>
          <w:tcPr>
            <w:tcW w:w="5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eastAsiaTheme="majorEastAsia" w:ascii="Times New Roman" w:hAnsi="Times New Roman"/>
                <w:sz w:val="24"/>
                <w:szCs w:val="20"/>
                <w:lang w:eastAsia="en-US" w:bidi="en-US"/>
              </w:rPr>
            </w:r>
          </w:p>
        </w:tc>
        <w:tc>
          <w:tcPr>
            <w:tcW w:w="5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землеустроительные дела, в том числе</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1088</w:t>
            </w:r>
          </w:p>
        </w:tc>
        <w:tc>
          <w:tcPr>
            <w:tcW w:w="16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288</w:t>
            </w:r>
          </w:p>
        </w:tc>
      </w:tr>
      <w:tr>
        <w:trPr>
          <w:trHeight w:val="283" w:hRule="atLeast"/>
        </w:trPr>
        <w:tc>
          <w:tcPr>
            <w:tcW w:w="5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eastAsiaTheme="majorEastAsia" w:ascii="Times New Roman" w:hAnsi="Times New Roman"/>
                <w:sz w:val="24"/>
                <w:szCs w:val="20"/>
                <w:lang w:eastAsia="en-US" w:bidi="en-US"/>
              </w:rPr>
            </w:r>
          </w:p>
        </w:tc>
        <w:tc>
          <w:tcPr>
            <w:tcW w:w="5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внутрихозяйственное землеустройство</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17</w:t>
            </w:r>
          </w:p>
        </w:tc>
        <w:tc>
          <w:tcPr>
            <w:tcW w:w="16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sz w:val="24"/>
                <w:szCs w:val="20"/>
                <w:lang w:eastAsia="en-US" w:bidi="en-US"/>
              </w:rPr>
            </w:pPr>
            <w:r>
              <w:rPr>
                <w:rFonts w:eastAsia="" w:cs="Times New Roman" w:ascii="Times New Roman" w:hAnsi="Times New Roman" w:eastAsiaTheme="majorEastAsia"/>
                <w:sz w:val="24"/>
                <w:szCs w:val="20"/>
                <w:lang w:eastAsia="en-US" w:bidi="en-US"/>
              </w:rPr>
              <w:t>14</w:t>
            </w:r>
          </w:p>
        </w:tc>
      </w:tr>
      <w:tr>
        <w:trPr>
          <w:trHeight w:val="255" w:hRule="atLeast"/>
        </w:trPr>
        <w:tc>
          <w:tcPr>
            <w:tcW w:w="5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4</w:t>
            </w:r>
          </w:p>
        </w:tc>
        <w:tc>
          <w:tcPr>
            <w:tcW w:w="5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Материалы и данные государственного мониторинга земель</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15</w:t>
            </w:r>
          </w:p>
        </w:tc>
        <w:tc>
          <w:tcPr>
            <w:tcW w:w="16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13</w:t>
            </w:r>
          </w:p>
        </w:tc>
      </w:tr>
      <w:tr>
        <w:trPr>
          <w:trHeight w:val="294" w:hRule="atLeast"/>
        </w:trPr>
        <w:tc>
          <w:tcPr>
            <w:tcW w:w="5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5</w:t>
            </w:r>
          </w:p>
        </w:tc>
        <w:tc>
          <w:tcPr>
            <w:tcW w:w="5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 w:cs="Times New Roman" w:eastAsiaTheme="majorEastAsia"/>
                <w:b/>
                <w:b/>
                <w:sz w:val="24"/>
                <w:szCs w:val="20"/>
                <w:lang w:val="en-US" w:eastAsia="en-US" w:bidi="en-US"/>
              </w:rPr>
            </w:pPr>
            <w:r>
              <w:rPr>
                <w:rFonts w:eastAsia="" w:cs="Times New Roman" w:ascii="Times New Roman" w:hAnsi="Times New Roman" w:eastAsiaTheme="majorEastAsia"/>
                <w:b/>
                <w:sz w:val="24"/>
                <w:szCs w:val="20"/>
                <w:lang w:eastAsia="en-US" w:bidi="en-US"/>
              </w:rPr>
              <w:t>Материалы кадастровой оценки</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2</w:t>
            </w:r>
          </w:p>
        </w:tc>
        <w:tc>
          <w:tcPr>
            <w:tcW w:w="16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ajorEastAsia"/>
                <w:b/>
                <w:b/>
                <w:sz w:val="24"/>
                <w:szCs w:val="20"/>
                <w:lang w:eastAsia="en-US" w:bidi="en-US"/>
              </w:rPr>
            </w:pPr>
            <w:r>
              <w:rPr>
                <w:rFonts w:eastAsia="" w:cs="Times New Roman" w:ascii="Times New Roman" w:hAnsi="Times New Roman" w:eastAsiaTheme="majorEastAsia"/>
                <w:b/>
                <w:sz w:val="24"/>
                <w:szCs w:val="20"/>
                <w:lang w:eastAsia="en-US" w:bidi="en-US"/>
              </w:rPr>
              <w:t>2</w:t>
            </w:r>
          </w:p>
        </w:tc>
      </w:tr>
    </w:tbl>
    <w:p>
      <w:pPr>
        <w:pStyle w:val="Normal"/>
        <w:spacing w:lineRule="auto" w:line="240" w:before="0" w:after="0"/>
        <w:jc w:val="both"/>
        <w:rPr>
          <w:rFonts w:ascii="Times New Roman" w:hAnsi="Times New Roman"/>
          <w:sz w:val="28"/>
          <w:szCs w:val="28"/>
        </w:rPr>
      </w:pPr>
      <w:r>
        <w:rPr>
          <w:rFonts w:ascii="Times New Roman" w:hAnsi="Times New Roman"/>
          <w:sz w:val="28"/>
          <w:szCs w:val="28"/>
        </w:rPr>
      </w:r>
    </w:p>
    <w:p>
      <w:pPr>
        <w:pStyle w:val="Normal"/>
        <w:spacing w:lineRule="auto" w:line="240" w:before="0" w:after="0"/>
        <w:contextualSpacing/>
        <w:jc w:val="both"/>
        <w:rPr>
          <w:rFonts w:ascii="Times New Roman" w:hAnsi="Times New Roman" w:eastAsia="" w:cs="Times New Roman" w:eastAsiaTheme="majorEastAsia"/>
          <w:sz w:val="28"/>
          <w:szCs w:val="28"/>
          <w:lang w:eastAsia="en-US" w:bidi="en-US"/>
        </w:rPr>
      </w:pPr>
      <w:r>
        <w:rPr>
          <w:rFonts w:eastAsia="" w:cs="Times New Roman" w:ascii="Times New Roman" w:hAnsi="Times New Roman" w:eastAsiaTheme="majorEastAsia"/>
          <w:sz w:val="28"/>
          <w:szCs w:val="28"/>
          <w:lang w:eastAsia="en-US" w:bidi="en-US"/>
        </w:rPr>
        <w:t>Следует отметить, что в настоящее время, согласно закону о землеустройстве, земельные участки не являются объектами землеустройства, землеустроительная документация на них не подготавливается и в государственный фонд данных не передается, в отношении земельного участка осуществляются кадастровые работы. В указанной связи заинтересованные лица могут получить в пользование только ранее переданную в ГФДЗ документацию по земельным участкам.</w:t>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0"/>
        <w:contextualSpacing/>
        <w:jc w:val="center"/>
        <w:rPr>
          <w:rFonts w:ascii="Times New Roman" w:hAnsi="Times New Roman" w:eastAsia="" w:cs="Times New Roman" w:eastAsiaTheme="majorEastAsia"/>
          <w:b/>
          <w:b/>
          <w:sz w:val="28"/>
          <w:szCs w:val="28"/>
          <w:lang w:eastAsia="en-US" w:bidi="en-US"/>
        </w:rPr>
      </w:pPr>
      <w:r>
        <w:rPr>
          <w:rFonts w:eastAsia="" w:cs="Times New Roman" w:ascii="Times New Roman" w:hAnsi="Times New Roman" w:eastAsiaTheme="majorEastAsia"/>
          <w:b/>
          <w:sz w:val="28"/>
          <w:szCs w:val="28"/>
          <w:lang w:eastAsia="en-US" w:bidi="en-US"/>
        </w:rPr>
        <w:t>3.2.2.3. Контроль за проведением землеустройства, осуществление экспертизы землеустроительной документации,  исполнение обращений граждан и юридических лиц по вопросам проведения землеустройства</w:t>
      </w:r>
    </w:p>
    <w:p>
      <w:pPr>
        <w:pStyle w:val="Normal"/>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eastAsiaTheme="majorEastAsia" w:ascii="Times New Roman" w:hAnsi="Times New Roman"/>
          <w:sz w:val="28"/>
          <w:szCs w:val="28"/>
          <w:lang w:eastAsia="en-US" w:bidi="en-US"/>
        </w:rPr>
      </w:r>
    </w:p>
    <w:p>
      <w:pPr>
        <w:pStyle w:val="Normal"/>
        <w:spacing w:lineRule="auto" w:line="240" w:before="0" w:after="0"/>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В связи с отсутствием возможности планирования надзора за проведением землеустройства, данный надзор осуществляется Управлением Росреестра по Приморскому краю только в форме внеплановых проверок в случае получения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законодательства при проведении землеустройства. В течение 2016 года в Управление заявлений от заинтересованных лиц по вопросам государственного надзора за проведением землеустройства не поступало.</w:t>
      </w:r>
    </w:p>
    <w:p>
      <w:pPr>
        <w:pStyle w:val="Normal"/>
        <w:spacing w:lineRule="auto" w:line="240" w:before="0" w:after="0"/>
        <w:contextualSpacing/>
        <w:jc w:val="both"/>
        <w:rPr>
          <w:rFonts w:ascii="Courier New" w:hAnsi="Courier New" w:eastAsia="" w:cs="" w:cstheme="majorBidi" w:eastAsiaTheme="majorEastAsia"/>
          <w:lang w:eastAsia="en-US" w:bidi="en-US"/>
        </w:rPr>
      </w:pPr>
      <w:r>
        <w:rPr>
          <w:rFonts w:eastAsia="" w:cs="" w:ascii="Times New Roman" w:hAnsi="Times New Roman" w:cstheme="majorBidi" w:eastAsiaTheme="majorEastAsia"/>
          <w:sz w:val="28"/>
          <w:szCs w:val="28"/>
          <w:lang w:eastAsia="en-US" w:bidi="en-US"/>
        </w:rPr>
        <w:t xml:space="preserve">Вместе с тем, надзор за проведением землеустройства Управлением осуществлялся при рассмотрении поступающих в ГФДЗ землеустроительных дел по описанию границ населенных пунктов, территориальных зон и зон с особыми условиями использования территории. Управлением осуществлялась проверка представленных материалов на соответствие  требованиям, установленным постановлением Правительства РФ от 30.07.2009 № 621 «Об утверждении форм карты (плана) объекта землеустройства и требований к ее составлению» и приказом Минэкономразвития РФ от 03.06.2011 № 267 «Об утверждении порядка описания местоположения границ объектов землеустройства». В случае наличия замечаний землеустроительные дела возвращались на доработку, без подготовки Актов контроля. Всего в 2016 году проверено и принято в ГФДЗ </w:t>
      </w:r>
      <w:r>
        <w:rPr>
          <w:rFonts w:eastAsia="" w:cs="Times New Roman" w:ascii="Times New Roman" w:hAnsi="Times New Roman" w:eastAsiaTheme="majorEastAsia"/>
          <w:sz w:val="28"/>
          <w:szCs w:val="28"/>
          <w:lang w:eastAsia="en-US" w:bidi="en-US"/>
        </w:rPr>
        <w:t>127 землеустроительных дел по описанию местоположения границ объектов землеустройства</w:t>
      </w:r>
      <w:r>
        <w:rPr>
          <w:rFonts w:eastAsia="" w:cs="" w:ascii="Courier New" w:hAnsi="Courier New" w:cstheme="majorBidi" w:eastAsiaTheme="majorEastAsia"/>
          <w:lang w:eastAsia="en-US" w:bidi="en-US"/>
        </w:rPr>
        <w:t>.</w:t>
      </w:r>
    </w:p>
    <w:p>
      <w:pPr>
        <w:pStyle w:val="Normal"/>
        <w:spacing w:lineRule="auto" w:line="240" w:before="0" w:after="0"/>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 xml:space="preserve">По вопросам проведения государственной экспертизы землеустроительной документации в Управление Росреестра по Приморскому краю в 2016 году поступило 13 обращений. Государственная экспертиза проведена в отношении землеустроительной документации </w:t>
      </w:r>
      <w:r>
        <w:rPr>
          <w:rFonts w:eastAsia="" w:cs="Times New Roman" w:ascii="Times New Roman" w:hAnsi="Times New Roman" w:eastAsiaTheme="majorEastAsia"/>
          <w:sz w:val="28"/>
          <w:szCs w:val="28"/>
          <w:lang w:eastAsia="en-US" w:bidi="en-US"/>
        </w:rPr>
        <w:t xml:space="preserve">по описанию местоположения границ </w:t>
      </w:r>
      <w:r>
        <w:rPr>
          <w:rFonts w:eastAsia="" w:cs="" w:ascii="Times New Roman" w:hAnsi="Times New Roman" w:cstheme="majorBidi" w:eastAsiaTheme="majorEastAsia"/>
          <w:sz w:val="28"/>
          <w:szCs w:val="28"/>
          <w:lang w:eastAsia="en-US" w:bidi="en-US"/>
        </w:rPr>
        <w:t>населенных пунктов</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В рамках реализации государственной функции по вопросам проведения землеустройства в Управление в отчетном периоде поступило 33 обращения, в основном, касающихся рассмотрения землеустроительной документации. </w:t>
      </w:r>
    </w:p>
    <w:p>
      <w:pPr>
        <w:pStyle w:val="Normal"/>
        <w:spacing w:lineRule="auto" w:line="240" w:before="0" w:after="0"/>
        <w:jc w:val="both"/>
        <w:rPr>
          <w:rFonts w:ascii="Times New Roman" w:hAnsi="Times New Roman" w:cs="Times New Roman"/>
          <w:bCs/>
          <w:sz w:val="28"/>
        </w:rPr>
      </w:pPr>
      <w:r>
        <w:rPr>
          <w:rFonts w:cs="Times New Roman" w:ascii="Times New Roman" w:hAnsi="Times New Roman"/>
          <w:bCs/>
          <w:sz w:val="28"/>
        </w:rPr>
        <w:t>Гражданам и юридическим лицам, не знакомым с изменениями законодательства, в соответствии с которыми земельные участки перестали являться объектами землеустройства, и обращающимся по вопросам проведения землеустройства в отношении земельных участков, в рабочем порядке давались соответствующие разъяснения.</w:t>
      </w:r>
    </w:p>
    <w:p>
      <w:pPr>
        <w:pStyle w:val="Normal"/>
        <w:spacing w:before="0" w:after="0"/>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before="0" w:after="0"/>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before="0" w:after="0"/>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before="0" w:after="0"/>
        <w:jc w:val="center"/>
        <w:rPr>
          <w:rFonts w:ascii="Times New Roman" w:hAnsi="Times New Roman" w:eastAsia="" w:cs="Times New Roman" w:eastAsiaTheme="majorEastAsia"/>
          <w:b/>
          <w:b/>
          <w:sz w:val="28"/>
          <w:szCs w:val="28"/>
          <w:lang w:eastAsia="en-US" w:bidi="en-US"/>
        </w:rPr>
      </w:pPr>
      <w:r>
        <w:rPr>
          <w:rFonts w:eastAsia="" w:cs="Times New Roman" w:ascii="Times New Roman" w:hAnsi="Times New Roman" w:eastAsiaTheme="majorEastAsia"/>
          <w:b/>
          <w:sz w:val="28"/>
          <w:szCs w:val="28"/>
          <w:lang w:eastAsia="en-US" w:bidi="en-US"/>
        </w:rPr>
        <w:t>3.3. ГОСУДАРСТВЕННЫЙ ЗЕМЕЛЬНЫЙ НАДЗОР</w:t>
      </w:r>
    </w:p>
    <w:p>
      <w:pPr>
        <w:pStyle w:val="Normal"/>
        <w:spacing w:lineRule="auto" w:line="240" w:before="0" w:after="0"/>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r>
    </w:p>
    <w:p>
      <w:pPr>
        <w:pStyle w:val="Normal"/>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t>3.3.1</w:t>
      </w:r>
      <w:r>
        <w:rPr>
          <w:b/>
          <w:szCs w:val="28"/>
        </w:rPr>
        <w:t xml:space="preserve"> </w:t>
      </w:r>
      <w:r>
        <w:rPr>
          <w:rFonts w:cs="Times New Roman" w:ascii="Times New Roman" w:hAnsi="Times New Roman"/>
          <w:b/>
          <w:sz w:val="28"/>
          <w:szCs w:val="28"/>
        </w:rPr>
        <w:t xml:space="preserve">Организация ведения государственного земельного надзора </w:t>
      </w:r>
    </w:p>
    <w:p>
      <w:pPr>
        <w:pStyle w:val="Normal"/>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contextualSpacing/>
        <w:jc w:val="both"/>
        <w:rPr>
          <w:rFonts w:ascii="Times New Roman" w:hAnsi="Times New Roman" w:eastAsia="Calibri" w:cs="Times New Roman" w:eastAsiaTheme="minorHAnsi"/>
          <w:sz w:val="28"/>
          <w:szCs w:val="28"/>
          <w:lang w:eastAsia="en-US"/>
        </w:rPr>
      </w:pPr>
      <w:r>
        <w:rPr>
          <w:rFonts w:eastAsia="Calibri" w:cs="Times New Roman" w:ascii="Times New Roman" w:hAnsi="Times New Roman" w:eastAsiaTheme="minorHAnsi"/>
          <w:sz w:val="28"/>
          <w:szCs w:val="28"/>
          <w:lang w:eastAsia="en-US"/>
        </w:rPr>
        <w:t>В соответствии со статьей 9 Конституции Российской Федерации,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Управление земельно - ресурсным потенциалом охватывает весь спектр общественных отношений. Земля – главный национальный ресурс, вопросы функционирования и использования земли находятся в сфере приоритетных государственных интересов. </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Государственный земельный надзор является важным звеном в системе государственного управления в сфере землепользования. Он, с одной стороны, является средством выявления нарушений регулирующих предписаний, которые издают государственные органы, а с другой стороны,  позволяет обеспечить обратную связь в процессе управления, выявить те направления в деятельности государственных органов, где требуется совершенствование форм и методов регулирования. </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Государственный земельный надзор осуществляется специально уполномоченными государственными органами за соблюдением земельного законодательства, требований охраны и использования земель организациями независимо от их организационно-правовых форм и форм собственности, их руководителями, должностными лицами, а также гражданами.</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Государственный земельный надзор осуществляется в соответствии с законодательством Российской Федерации в порядке, установленном Правительством Российской Федерации.</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Понятие государственного земельного надзора регламентировано Земельным кодексом Российской Федерации.</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Под государственным земельным надзором понимаются деятельность уполномоченных федеральных органов исполнительной власти, направленная на предупреждение, выявление и пресечение нарушений органами государственной власти, органами местного самоуправления, а также юридическими лицами, их руководителями и иными должностными лицами, индивидуальными предпринимателями (далее - юридические лица, индивидуальные предприниматели), гражданами требований законодательства Российской Федерации, за нарушение которых законодательством Российской Федерации предусмотрена административная и иная ответственность, посредством организации и проведения проверок указанных органов, юридических лиц, индивидуальных предпринимателей и граждан, принятия предусмотренных законодательством Российской Федерации мер по пресечению и (или) устранению последствий выявленных нарушений, и деятельность указанных уполномоченных органов государственной власти по систематическому наблюдению за исполнением требований земельного законодательства, проведению анализа и прогнозированию состояния исполнения требований земельного законодательства при осуществлении органами государственной власти, органами местного самоуправления, юридическими лицами, индивидуальными предпринимателями, гражданами своей деятельности.</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Объектами земельных отношений являются:</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 земля как природный объект и природный ресурс;</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2) земельные участки;</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3) части земельных участков.</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Земельный участок как объект права собственности и иных предусмотренных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w:t>
      </w:r>
      <w:hyperlink r:id="rId106">
        <w:r>
          <w:rPr>
            <w:rFonts w:eastAsia="Times New Roman" w:cs="Times New Roman" w:ascii="Times New Roman" w:hAnsi="Times New Roman"/>
            <w:sz w:val="28"/>
            <w:szCs w:val="28"/>
          </w:rPr>
          <w:t>законом</w:t>
        </w:r>
      </w:hyperlink>
      <w:r>
        <w:rPr>
          <w:rFonts w:eastAsia="Times New Roman" w:cs="Times New Roman" w:ascii="Times New Roman" w:hAnsi="Times New Roman"/>
          <w:sz w:val="28"/>
          <w:szCs w:val="28"/>
        </w:rPr>
        <w:t>, могут создаваться искусственные земельные участки.</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Предметом проверок при осуществлении государственного земельного надзора является соблюдение в отношении объектов земельных отношений органами государственной власти, органами местного самоуправления, юридическими лицами, индивидуальными предпринимателями, гражданами требований земельного законодательства, за нарушение которых законодательством Российской Федерации предусмотрена </w:t>
      </w:r>
      <w:hyperlink r:id="rId107">
        <w:r>
          <w:rPr>
            <w:rFonts w:eastAsia="Times New Roman" w:cs="Times New Roman" w:ascii="Times New Roman" w:hAnsi="Times New Roman"/>
            <w:sz w:val="28"/>
            <w:szCs w:val="28"/>
          </w:rPr>
          <w:t>ответственность</w:t>
        </w:r>
      </w:hyperlink>
      <w:r>
        <w:rPr>
          <w:rFonts w:eastAsia="Times New Roman" w:cs="Times New Roman" w:ascii="Times New Roman" w:hAnsi="Times New Roman"/>
          <w:sz w:val="28"/>
          <w:szCs w:val="28"/>
        </w:rPr>
        <w:t>.</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Цель государственного земельного надзора – сохранение земли как природного ресурса, основы жизни и деятельности граждан. </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Для достижения указанной цели необходимо соблюдать принципы государственного земельного надзора: принцип постоянности государственного земельного надзора и принцип неотвратимости наказания за совершенные земельные правонарушения.</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Организация и проведение надзора осуществляются в соответствии с принципами законности, презумпции невиновности, невмешательства в деятельность юридических лиц и индивидуальных предпринимателей при осуществлении ими предпринимательской деятельности. </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Для исполнения государственной функции Управлением осуществляются действия по планированию проверок, подготовке к   проведению проверок, проведению проверок и оформлению их результатов, подготовке к рассмотрению дел об административных правонарушениях, рассмотрению дел об административных правонарушениях, пересмотру постановлений по делам об административных правонарушениях, исполнению постановлений о назначении административного наказания, контролю за устранением нарушений земельного законодательства. Дополнительные функции включают в себя формирование ведомственной статистической отчетности, рассмотрение жалоб и обращений граждан и юридических лиц, размещение информации по государственном земельному надзору на  сайте Управления, иные функции.</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Calibri" w:cs="Times New Roman" w:ascii="Times New Roman" w:hAnsi="Times New Roman"/>
          <w:sz w:val="28"/>
          <w:szCs w:val="28"/>
          <w:lang w:eastAsia="en-US"/>
        </w:rPr>
        <w:t xml:space="preserve">            </w:t>
      </w:r>
      <w:r>
        <w:rPr>
          <w:rFonts w:eastAsia="Times New Roman" w:cs="Times New Roman" w:ascii="Times New Roman" w:hAnsi="Times New Roman"/>
          <w:color w:val="000000"/>
          <w:sz w:val="28"/>
          <w:szCs w:val="28"/>
        </w:rPr>
        <w:t>Управление при осуществлении государственного земельного надзора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Правительства Российской Федерации, актами Минэкономразвития России, Росреестра, в том числе:</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Земельным кодексом Российской Федерации;</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Кодексом Российской Федерации об административных правонарушениях;</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Гражданским кодексом Российской Федерации;</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Федеральным законом от 24.07.2007 № 221-ФЗ «О государственном кадастре недвижимости»;</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Федеральным законом от 24.07.2002 № 101-ФЗ «Об обороте земель сельскохозяйственного назначения»;</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Указом Президента Российской Федерации от 25.12.2008 № 1847 «О Федеральной службе государственной регистрации, кадастра и картографии»;</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постановлением Правительства Российской Федерации от 01.06.2009 № 457 «О Федеральной службе государственной регистрации, кадастра и картографии»;</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постановлением Правительства Российской Федерации от 02.01.2015 № 1 «О государственном земельном надзоре»;</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постановлением Правительства Российской Федерации от 18.03.2015 № 251» Об утверждении правил проведения административных обследований объектов земельных отношений»;</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xml:space="preserve">- постановлением Правительства Российской Федерации от 26.12.2014 № 1515 «Об утверждении правил взаимодействия Федеральных органов государственной власти, осуществляющих государственный земельный контроль»; </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постановлением Правительства Российской Федерации от 20.08.2009 № 688 «Об утверждении правил установления на местности границ объектов землеустройства».</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постановлением Правительства Российской федерации от 28.11.2002 № 846 «Об утверждении Положения об осуществлении государственного мониторинга земель»;</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pPr>
        <w:pStyle w:val="Normal"/>
        <w:spacing w:lineRule="auto" w:line="240" w:before="75" w:after="64"/>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Normal"/>
        <w:widowControl w:val="false"/>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sz w:val="28"/>
          <w:szCs w:val="28"/>
        </w:rPr>
        <w:t xml:space="preserve">- приказом </w:t>
      </w:r>
      <w:r>
        <w:rPr>
          <w:rFonts w:eastAsia="Times New Roman" w:cs="Times New Roman" w:ascii="Times New Roman" w:hAnsi="Times New Roman"/>
          <w:color w:val="000000"/>
          <w:sz w:val="28"/>
          <w:szCs w:val="28"/>
        </w:rPr>
        <w:t>Министерства экономического развития Российской Федерации 20.07.2015 от 20.07.2015 № 486 «Об утверждении Административного регламента Федеральной службы государственной регистрации, кадастра и картографии по исполнению Федеральной службой государственной регистрации, кадастра и картографии государственной функции по осуществлению государственного земельного надзора».</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При проведении мероприятий по государственному земельному надзору Управлением анализируется выполнение обязательных требований, установленных ст. 25, ст. 26, ст. 42 Земельного кодекса Российской Федерации (далее – ЗК РФ).</w:t>
      </w:r>
    </w:p>
    <w:p>
      <w:pPr>
        <w:pStyle w:val="Normal"/>
        <w:numPr>
          <w:ilvl w:val="0"/>
          <w:numId w:val="0"/>
        </w:numPr>
        <w:spacing w:lineRule="auto" w:line="240" w:before="0" w:after="0"/>
        <w:contextualSpacing/>
        <w:jc w:val="both"/>
        <w:outlineLvl w:val="1"/>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xml:space="preserve">В соответствии с частью 1 ст. 25 ЗК РФ права на земельные участки возникают по основаниям, установленным гражданским законодательством, федеральными законами, и подлежат государственной регистрации в соответствии с Федеральным законом от 21.07.1997 № 122-ФЗ «О государственной регистрации прав на недвижимое имущество и сделок с ним». </w:t>
      </w:r>
    </w:p>
    <w:p>
      <w:pPr>
        <w:pStyle w:val="Normal"/>
        <w:numPr>
          <w:ilvl w:val="0"/>
          <w:numId w:val="0"/>
        </w:numPr>
        <w:spacing w:lineRule="auto" w:line="240" w:before="0" w:after="0"/>
        <w:contextualSpacing/>
        <w:jc w:val="both"/>
        <w:outlineLvl w:val="1"/>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xml:space="preserve">В соответствии с частью 1 ст. 26 ЗК РФ права на земельные участки удостоверяются документами в соответствии с Федеральным </w:t>
      </w:r>
      <w:hyperlink r:id="rId108">
        <w:r>
          <w:rPr>
            <w:rFonts w:eastAsia="Calibri" w:cs="Times New Roman" w:ascii="Times New Roman" w:hAnsi="Times New Roman"/>
            <w:sz w:val="28"/>
            <w:szCs w:val="28"/>
            <w:lang w:eastAsia="en-US"/>
          </w:rPr>
          <w:t>законом</w:t>
        </w:r>
      </w:hyperlink>
      <w:r>
        <w:rPr>
          <w:rFonts w:eastAsia="Calibri" w:cs="Times New Roman" w:ascii="Times New Roman" w:hAnsi="Times New Roman"/>
          <w:sz w:val="28"/>
          <w:szCs w:val="28"/>
          <w:lang w:eastAsia="en-US"/>
        </w:rPr>
        <w:t xml:space="preserve"> "О государственной регистрации прав на недвижимое имущество и сделок с ним".</w:t>
      </w:r>
    </w:p>
    <w:p>
      <w:pPr>
        <w:pStyle w:val="Normal"/>
        <w:numPr>
          <w:ilvl w:val="0"/>
          <w:numId w:val="0"/>
        </w:numPr>
        <w:spacing w:lineRule="auto" w:line="240" w:before="0" w:after="0"/>
        <w:contextualSpacing/>
        <w:jc w:val="both"/>
        <w:outlineLvl w:val="1"/>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Согласно статье 42 ЗК РФ собственники земельных участков и лица, не являющиеся собственниками земельного участка, обязаны:</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Arial" w:ascii="Arial" w:hAnsi="Arial"/>
          <w:sz w:val="20"/>
          <w:szCs w:val="28"/>
        </w:rPr>
        <w:t xml:space="preserve">- </w:t>
      </w:r>
      <w:r>
        <w:rPr>
          <w:rFonts w:eastAsia="Times New Roman" w:cs="Times New Roman" w:ascii="Times New Roman" w:hAnsi="Times New Roman"/>
          <w:sz w:val="28"/>
          <w:szCs w:val="28"/>
        </w:rPr>
        <w:t>использовать земельные участки в соответствии с их целевым назначением способами, которые не должны наносить вред окружающей среде, в том числе земле как природному объекту;</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сохранять межевые, геодезические и другие специальные знаки, установленные на земельных участках в соответствии с законодательством;</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осуществлять мероприятия по охране земель, лесов, водных объектов и других природных ресурсов, в том числе меры пожарной безопасности;</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своевременно приступать к использованию земельных участков в случаях, если сроки освоения земельных участков предусмотрены договорами;</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своевременно производить платежи за землю;</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не допускать загрязнение, истощение, деградацию, порчу, уничтожение земель и почв и иное негативное воздействие на земли и почвы;</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выполнять иные требования, предусмотренные настоящим Кодексом, федеральными законами.</w:t>
      </w:r>
    </w:p>
    <w:p>
      <w:pPr>
        <w:pStyle w:val="Normal"/>
        <w:numPr>
          <w:ilvl w:val="0"/>
          <w:numId w:val="0"/>
        </w:numPr>
        <w:spacing w:lineRule="auto" w:line="240" w:before="0" w:after="0"/>
        <w:contextualSpacing/>
        <w:jc w:val="both"/>
        <w:outlineLvl w:val="0"/>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В соответствии с п. 3 Положения о государственном земельном надзоре, утвержденного постановлением Правительства Российской Федерации от 02.01.2015 № 1,  Федеральная служба государственной регистрации, кадастра и картографии и ее территориальные органы осуществляли контроль за соблюдением:</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а) требований законодательства о недопущении самовольного занятия земельного участка или части земельного участка, в том числе использования земельного участка лицом, не имеющим предусмотренных законодательством Российской Федерации прав на указанный земельный участок;</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б) требований о переоформлении юридическими лицами права постоянного (бессрочного) пользования земельными участками на право аренды земельных участков или приобретении земельных участков в собственность;</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требований законодательства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г) требований законодательства, связанных с обязательным использованием в течение установленного срока земельных участков, предназначенных для жилищного или иного строительства, садоводства, огородничества, в указанных целях;</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д) требований земельного законодательства органами государственной власти и органами местного самоуправления при предоставлении земельных участков, находящихся в государственной и муниципальной собственности;</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е) требований законодательства, связанных с обязанностью по приведению земель в состояние, пригодное для использования по целевому назначению;</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з) требований законодательства, связанных с выполнением в установленный срок предписаний, выданных должностными лицами Федеральной службы государственной регистрации, кадастра и картографии и ее территориальных органов в пределах компетенции, по вопросам соблюдения требований земельного законодательства и устранения нарушений в области земельных отношений.</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Управлении Росреестра по Приморскому краю функции государственного земельного надзора осуществляются отделом государственного земельного надзора, геодезии и картографии аппарата Управления, а также 9 обособленными структурными подразделениями (межмуниципальными отделами), имеющими соответствующую территориальную зону ответственности на территории 22 муниципальных районов и 12 городских округов.</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Times New Roman" w:cs="Times New Roman" w:ascii="Times New Roman" w:hAnsi="Times New Roman"/>
          <w:sz w:val="28"/>
          <w:szCs w:val="28"/>
        </w:rPr>
        <w:t xml:space="preserve">Полномочиями по осуществлению государственного земельного  надзора за использованием и охраной земель в Приморском крае на конец отчетного периода наделены 37 </w:t>
      </w:r>
      <w:r>
        <w:rPr>
          <w:rFonts w:eastAsia="Calibri" w:cs="Times New Roman" w:ascii="Times New Roman" w:hAnsi="Times New Roman"/>
          <w:sz w:val="28"/>
          <w:szCs w:val="28"/>
          <w:lang w:eastAsia="en-US"/>
        </w:rPr>
        <w:t xml:space="preserve">государственных гражданских служащих (уменьшение численности составило 11.9% по сравнению с 2015 годом - 42), в 2014 – 40. </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Из общего числа государственных инспекторов:</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- 1 - главный государственный инспектор по использованию и охране земель Приморского края;</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xml:space="preserve">- 2 - заместители главного государственного инспектора по использованию и охране земель Приморского края; </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xml:space="preserve">- 3 – государственные инспекторы по использованию и охране земель Приморского края (освобождены от исполнения иных обязанностей); </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- 10 - главные государственные инспекторы по использованию и охране земель  городов и районов края;</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- 9 - заместители главных государственных инспекторов городов и районов края,</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xml:space="preserve">- 12 – государственные инспекторы городов и районов края. </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Штатная численность государственных инспекторов распределяется по  должностям следующим образом:</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руководитель Управления – 1;</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заместитель руководителя Управления – 1;</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начальники отделов – 10;</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заместители начальников отделов – 10;</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xml:space="preserve">- главные специалисты – эксперты – 2; </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специалисты – эксперты – 9;</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специалисты 2 разряда – 2;</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старшие специалисты 2 разряда – 2.</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xml:space="preserve">в) из состава 37 инспекторов имеют высшее профессиональное образование 34 человек, неоконченное высшее образование – 1, среднее профессиональное - 2. </w:t>
      </w:r>
    </w:p>
    <w:p>
      <w:pPr>
        <w:pStyle w:val="Normal"/>
        <w:spacing w:lineRule="auto" w:line="240" w:before="0" w:after="0"/>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xml:space="preserve"> </w:t>
      </w:r>
      <w:r>
        <w:rPr>
          <w:rFonts w:eastAsia="Calibri" w:cs="Times New Roman" w:ascii="Times New Roman" w:hAnsi="Times New Roman"/>
          <w:sz w:val="28"/>
          <w:szCs w:val="28"/>
          <w:lang w:eastAsia="en-US"/>
        </w:rPr>
        <w:t>В аппарате Управления 7 работников наделены полномочиями по осуществлению государственного земельного надзора, все они имеют высшее профессиональное образование. Повышение квалификации государственных инспекторов осуществлялось в рамках учеб по профессиональной подготовке;</w:t>
      </w:r>
    </w:p>
    <w:p>
      <w:pPr>
        <w:pStyle w:val="Normal"/>
        <w:spacing w:lineRule="auto" w:line="240"/>
        <w:jc w:val="center"/>
        <w:rPr>
          <w:rFonts w:ascii="Times New Roman" w:hAnsi="Times New Roman" w:eastAsia="" w:cs="" w:cstheme="majorBidi" w:eastAsiaTheme="majorEastAsia"/>
          <w:b/>
          <w:b/>
          <w:sz w:val="28"/>
          <w:szCs w:val="28"/>
          <w:lang w:eastAsia="en-US" w:bidi="en-US"/>
        </w:rPr>
      </w:pPr>
      <w:r>
        <w:rPr>
          <w:rFonts w:eastAsia="" w:cs="" w:cstheme="majorBidi" w:eastAsiaTheme="majorEastAsia" w:ascii="Times New Roman" w:hAnsi="Times New Roman"/>
          <w:b/>
          <w:sz w:val="28"/>
          <w:szCs w:val="28"/>
          <w:lang w:eastAsia="en-US" w:bidi="en-US"/>
        </w:rPr>
      </w:r>
    </w:p>
    <w:p>
      <w:pPr>
        <w:pStyle w:val="Normal"/>
        <w:spacing w:lineRule="auto" w:line="240"/>
        <w:jc w:val="center"/>
        <w:rPr>
          <w:rFonts w:ascii="Times New Roman" w:hAnsi="Times New Roman" w:eastAsia="" w:cs="" w:cstheme="majorBidi" w:eastAsiaTheme="majorEastAsia"/>
          <w:b/>
          <w:b/>
          <w:sz w:val="28"/>
          <w:szCs w:val="28"/>
          <w:lang w:eastAsia="en-US" w:bidi="en-US"/>
        </w:rPr>
      </w:pPr>
      <w:r>
        <w:rPr>
          <w:rFonts w:eastAsia="" w:cs="" w:ascii="Times New Roman" w:hAnsi="Times New Roman" w:cstheme="majorBidi" w:eastAsiaTheme="majorEastAsia"/>
          <w:b/>
          <w:sz w:val="28"/>
          <w:szCs w:val="28"/>
          <w:lang w:eastAsia="en-US" w:bidi="en-US"/>
        </w:rPr>
        <w:t>3.3.2. Результаты  осуществления  государственного земельного надзора</w:t>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2016 году всего проведено 2195 проверок соблюдения земельного законодательства на площади 2970,5 га, из них: 6 в отношении органов местного самоуправления, 99 в отношении юридических лиц и индивидуальных предпринимателей, 2088 в отношении физических лиц.</w:t>
      </w:r>
    </w:p>
    <w:p>
      <w:pPr>
        <w:pStyle w:val="Normal"/>
        <w:spacing w:lineRule="auto" w:line="240" w:before="0" w:after="0"/>
        <w:ind w:right="-1"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отношении юридических лиц и индивидуальных предпринимателей внеплановые проверки проводились в порядке контроля за исполнением выданных предписаний об устранении выявленных нарушений.</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Количество проверок соблюдения земельного законодательства, предусмотренных планами проверок, составило 1488, из них: 6 в отношении органов местного самоуправления, 59 в отношении юридических лиц и индивидуальных предпринимателей, 1424 в отношении физических лиц. Всего не проведено 224 проверки.</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Основными причинами невозможности проведения проверок в отношении юридических лиц и индивидуальных предпринимателей  являлись: переход права на недвижимое имущество к иным лицам, реорганизация и ликвидация предприятий, отсутствие в период проверки руководителей предприятий и ИП. </w:t>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В отношении физических лиц – уклонение от проведения проверок, не проживание по месту регистрации, переход прав, смерть физического лица. </w:t>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Озвученная Президентом Российской Федерации в Послании Федеральному Собранию Российской Федерации концепция развития малого и среднего предпринимательства реализована Управлением путем сокращения числа плановых проверок, включенных в план проверок на 2016 год.</w:t>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Федеральным законом от 13.07.2015 № 246-ФЗ установлен запрет на осуществление с 01.01.2016 по 31.12.2018 плановых проверок в отношении юридических лиц и индивидуальных предпринимателей, отнесенных к субъектам малого предпринимательства.</w:t>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Поскольку к данной категории отнесено подавляющее большинство юридических лиц и индивидуальных предпринимателей, осуществляющих деятельность на территории Приморского края, план проведения плановых проверок на 2016 год сформирован в сжатом объеме. </w:t>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Сравнительный анализ основных показателей приведен на следующей диаграмме.</w:t>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ind w:right="-1" w:hanging="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Рис. 19</w:t>
      </w:r>
      <w:r>
        <w:rPr/>
        <w:drawing>
          <wp:inline distT="0" distB="0" distL="0" distR="0">
            <wp:extent cx="5486400" cy="3200400"/>
            <wp:effectExtent l="0" t="0" r="0" b="0"/>
            <wp:docPr id="32" name="Объект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pStyle w:val="Normal"/>
        <w:spacing w:lineRule="auto" w:line="240" w:before="0" w:after="0"/>
        <w:ind w:right="-1"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разрезе муниципальных образований показатели распределяются следующим образом:</w:t>
      </w:r>
    </w:p>
    <w:tbl>
      <w:tblPr>
        <w:tblW w:w="9478" w:type="dxa"/>
        <w:jc w:val="left"/>
        <w:tblInd w:w="93" w:type="dxa"/>
        <w:tblLayout w:type="fixed"/>
        <w:tblCellMar>
          <w:top w:w="0" w:type="dxa"/>
          <w:left w:w="108" w:type="dxa"/>
          <w:bottom w:w="0" w:type="dxa"/>
          <w:right w:w="108" w:type="dxa"/>
        </w:tblCellMar>
        <w:tblLook w:val="04a0" w:noHBand="0" w:noVBand="1" w:firstColumn="1" w:lastRow="0" w:lastColumn="0" w:firstRow="1"/>
      </w:tblPr>
      <w:tblGrid>
        <w:gridCol w:w="581"/>
        <w:gridCol w:w="505"/>
        <w:gridCol w:w="1339"/>
        <w:gridCol w:w="578"/>
        <w:gridCol w:w="980"/>
        <w:gridCol w:w="623"/>
        <w:gridCol w:w="796"/>
        <w:gridCol w:w="801"/>
        <w:gridCol w:w="1041"/>
        <w:gridCol w:w="1452"/>
        <w:gridCol w:w="422"/>
        <w:gridCol w:w="359"/>
      </w:tblGrid>
      <w:tr>
        <w:trPr>
          <w:trHeight w:val="300" w:hRule="atLeast"/>
        </w:trPr>
        <w:tc>
          <w:tcPr>
            <w:tcW w:w="581" w:type="dxa"/>
            <w:tcBorders/>
            <w:shd w:color="auto" w:fill="auto" w:val="clear"/>
            <w:vAlign w:val="bottom"/>
          </w:tcPr>
          <w:p>
            <w:pPr>
              <w:pStyle w:val="Normal"/>
              <w:widowControl w:val="false"/>
              <w:spacing w:lineRule="auto" w:line="240" w:before="0" w:after="0"/>
              <w:rPr>
                <w:rFonts w:ascii="Calibri" w:hAnsi="Calibri" w:eastAsia="Times New Roman" w:cs="Times New Roman"/>
                <w:color w:val="000000"/>
              </w:rPr>
            </w:pPr>
            <w:r>
              <w:rPr>
                <w:rFonts w:eastAsia="Times New Roman" w:cs="Times New Roman"/>
                <w:color w:val="000000"/>
              </w:rPr>
            </w:r>
          </w:p>
        </w:tc>
        <w:tc>
          <w:tcPr>
            <w:tcW w:w="1844" w:type="dxa"/>
            <w:gridSpan w:val="2"/>
            <w:tcBorders/>
            <w:shd w:color="auto" w:fill="auto" w:val="clear"/>
            <w:vAlign w:val="bottom"/>
          </w:tcPr>
          <w:p>
            <w:pPr>
              <w:pStyle w:val="Normal"/>
              <w:widowControl w:val="false"/>
              <w:spacing w:lineRule="auto" w:line="240" w:before="0" w:after="0"/>
              <w:rPr>
                <w:rFonts w:ascii="Calibri" w:hAnsi="Calibri" w:eastAsia="Times New Roman" w:cs="Times New Roman"/>
                <w:color w:val="000000"/>
              </w:rPr>
            </w:pPr>
            <w:r>
              <w:rPr>
                <w:rFonts w:eastAsia="Times New Roman" w:cs="Times New Roman"/>
                <w:color w:val="000000"/>
              </w:rPr>
            </w:r>
          </w:p>
        </w:tc>
        <w:tc>
          <w:tcPr>
            <w:tcW w:w="1558" w:type="dxa"/>
            <w:gridSpan w:val="2"/>
            <w:tcBorders/>
            <w:shd w:color="auto" w:fill="auto" w:val="clear"/>
            <w:vAlign w:val="bottom"/>
          </w:tcPr>
          <w:p>
            <w:pPr>
              <w:pStyle w:val="Normal"/>
              <w:widowControl w:val="false"/>
              <w:spacing w:lineRule="auto" w:line="240" w:before="0" w:after="0"/>
              <w:rPr>
                <w:rFonts w:ascii="Calibri" w:hAnsi="Calibri" w:eastAsia="Times New Roman" w:cs="Times New Roman"/>
                <w:color w:val="000000"/>
              </w:rPr>
            </w:pPr>
            <w:r>
              <w:rPr>
                <w:rFonts w:eastAsia="Times New Roman" w:cs="Times New Roman"/>
                <w:color w:val="000000"/>
              </w:rPr>
            </w:r>
          </w:p>
        </w:tc>
        <w:tc>
          <w:tcPr>
            <w:tcW w:w="1419" w:type="dxa"/>
            <w:gridSpan w:val="2"/>
            <w:tcBorders/>
            <w:shd w:color="auto" w:fill="auto" w:val="clear"/>
            <w:vAlign w:val="bottom"/>
          </w:tcPr>
          <w:p>
            <w:pPr>
              <w:pStyle w:val="Normal"/>
              <w:widowControl w:val="false"/>
              <w:spacing w:lineRule="auto" w:line="240" w:before="0" w:after="0"/>
              <w:rPr>
                <w:rFonts w:ascii="Calibri" w:hAnsi="Calibri" w:eastAsia="Times New Roman" w:cs="Times New Roman"/>
                <w:color w:val="000000"/>
              </w:rPr>
            </w:pPr>
            <w:r>
              <w:rPr>
                <w:rFonts w:eastAsia="Times New Roman" w:cs="Times New Roman"/>
                <w:color w:val="000000"/>
              </w:rPr>
            </w:r>
          </w:p>
        </w:tc>
        <w:tc>
          <w:tcPr>
            <w:tcW w:w="1842" w:type="dxa"/>
            <w:gridSpan w:val="2"/>
            <w:tcBorders/>
            <w:shd w:color="auto" w:fill="auto" w:val="clear"/>
            <w:vAlign w:val="bottom"/>
          </w:tcPr>
          <w:p>
            <w:pPr>
              <w:pStyle w:val="Normal"/>
              <w:widowControl w:val="false"/>
              <w:spacing w:lineRule="auto" w:line="240" w:before="0" w:after="0"/>
              <w:rPr>
                <w:rFonts w:ascii="Calibri" w:hAnsi="Calibri" w:eastAsia="Times New Roman" w:cs="Times New Roman"/>
                <w:color w:val="000000"/>
              </w:rPr>
            </w:pPr>
            <w:r>
              <w:rPr>
                <w:rFonts w:eastAsia="Times New Roman" w:cs="Times New Roman"/>
                <w:color w:val="000000"/>
              </w:rPr>
            </w:r>
          </w:p>
        </w:tc>
        <w:tc>
          <w:tcPr>
            <w:tcW w:w="2233" w:type="dxa"/>
            <w:gridSpan w:val="3"/>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Таблица 15</w:t>
            </w:r>
          </w:p>
        </w:tc>
      </w:tr>
      <w:tr>
        <w:trPr>
          <w:trHeight w:val="1396" w:hRule="atLeast"/>
        </w:trPr>
        <w:tc>
          <w:tcPr>
            <w:tcW w:w="5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/п</w:t>
            </w:r>
          </w:p>
        </w:tc>
        <w:tc>
          <w:tcPr>
            <w:tcW w:w="184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Наименование районов</w:t>
            </w:r>
          </w:p>
        </w:tc>
        <w:tc>
          <w:tcPr>
            <w:tcW w:w="1558"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Количество проверок</w:t>
            </w:r>
          </w:p>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2016/2015/2014</w:t>
            </w:r>
          </w:p>
        </w:tc>
        <w:tc>
          <w:tcPr>
            <w:tcW w:w="1419"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Количество выявленных нарушений</w:t>
            </w:r>
          </w:p>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ind w:left="-108" w:right="-108" w:hanging="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2016/2015/2014</w:t>
            </w:r>
          </w:p>
        </w:tc>
        <w:tc>
          <w:tcPr>
            <w:tcW w:w="1842"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Количество лиц, привлеченных к административной ответственности</w:t>
            </w:r>
          </w:p>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2016/2015/2014</w:t>
            </w:r>
          </w:p>
        </w:tc>
        <w:tc>
          <w:tcPr>
            <w:tcW w:w="2233"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Сумма наложенных штрафов, тыс.руб.</w:t>
            </w:r>
          </w:p>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2016/2015/2014</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1</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Анучинский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38</w:t>
            </w:r>
            <w:r>
              <w:rPr>
                <w:rFonts w:eastAsia="Times New Roman" w:cs="Times New Roman" w:ascii="Times New Roman" w:hAnsi="Times New Roman"/>
                <w:sz w:val="20"/>
                <w:szCs w:val="20"/>
                <w:lang w:val="en-US"/>
              </w:rPr>
              <w:t>/29/57</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rPr>
              <w:t>10</w:t>
            </w:r>
            <w:r>
              <w:rPr>
                <w:rFonts w:eastAsia="Times New Roman" w:cs="Times New Roman" w:ascii="Times New Roman" w:hAnsi="Times New Roman"/>
                <w:sz w:val="20"/>
                <w:szCs w:val="20"/>
                <w:lang w:val="en-US"/>
              </w:rPr>
              <w:t>/9/16</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rPr>
              <w:t>6</w:t>
            </w:r>
            <w:r>
              <w:rPr>
                <w:rFonts w:eastAsia="Times New Roman" w:cs="Times New Roman" w:ascii="Times New Roman" w:hAnsi="Times New Roman"/>
                <w:sz w:val="20"/>
                <w:szCs w:val="20"/>
                <w:lang w:val="en-US"/>
              </w:rPr>
              <w:t>/3/18</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rPr>
              <w:t>30</w:t>
            </w:r>
            <w:r>
              <w:rPr>
                <w:rFonts w:eastAsia="Times New Roman" w:cs="Times New Roman" w:ascii="Times New Roman" w:hAnsi="Times New Roman"/>
                <w:sz w:val="20"/>
                <w:szCs w:val="20"/>
                <w:lang w:val="en-US"/>
              </w:rPr>
              <w:t>/15/6</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9</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2</w:t>
            </w:r>
          </w:p>
        </w:tc>
        <w:tc>
          <w:tcPr>
            <w:tcW w:w="184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Дальнереченский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rPr>
              <w:t>67</w:t>
            </w:r>
            <w:r>
              <w:rPr>
                <w:rFonts w:eastAsia="Times New Roman" w:cs="Times New Roman" w:ascii="Times New Roman" w:hAnsi="Times New Roman"/>
                <w:sz w:val="20"/>
                <w:szCs w:val="20"/>
                <w:lang w:val="en-US"/>
              </w:rPr>
              <w:t>/40/59</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36/8/35</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0/7/</w:t>
            </w:r>
            <w:r>
              <w:rPr>
                <w:rFonts w:eastAsia="Times New Roman" w:cs="Times New Roman" w:ascii="Times New Roman" w:hAnsi="Times New Roman"/>
                <w:sz w:val="20"/>
                <w:szCs w:val="20"/>
              </w:rPr>
              <w:t>5</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0/4/</w:t>
            </w:r>
            <w:r>
              <w:rPr>
                <w:rFonts w:eastAsia="Times New Roman" w:cs="Times New Roman" w:ascii="Times New Roman" w:hAnsi="Times New Roman"/>
                <w:sz w:val="20"/>
                <w:szCs w:val="20"/>
              </w:rPr>
              <w:t>23</w:t>
            </w:r>
            <w:r>
              <w:rPr>
                <w:rFonts w:eastAsia="Times New Roman" w:cs="Times New Roman" w:ascii="Times New Roman" w:hAnsi="Times New Roman"/>
                <w:sz w:val="20"/>
                <w:szCs w:val="20"/>
                <w:lang w:val="en-US"/>
              </w:rPr>
              <w:t>9</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3</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Дальнегорский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54/111/117</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15/41/46</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15/74/61</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620/1156</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8/64</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8</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4</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Кавалеровский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42/72/58</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18/20/40</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24/31/49</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165/219</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8/57</w:t>
            </w:r>
            <w:r>
              <w:rPr>
                <w:rFonts w:eastAsia="Times New Roman" w:cs="Times New Roman" w:ascii="Times New Roman" w:hAnsi="Times New Roman"/>
                <w:sz w:val="20"/>
                <w:szCs w:val="20"/>
              </w:rPr>
              <w:t>.25</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5</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Кировский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121/119/140</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40/34/81</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46/82/113</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452.5/130</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1/104</w:t>
            </w:r>
            <w:r>
              <w:rPr>
                <w:rFonts w:eastAsia="Times New Roman" w:cs="Times New Roman" w:ascii="Times New Roman" w:hAnsi="Times New Roman"/>
                <w:sz w:val="20"/>
                <w:szCs w:val="20"/>
              </w:rPr>
              <w:t>.4</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6</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Красноармейский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112/103/116</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84/67/81</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9/13/16/</w:t>
            </w:r>
            <w:r>
              <w:rPr>
                <w:rFonts w:eastAsia="Times New Roman" w:cs="Times New Roman" w:ascii="Times New Roman" w:hAnsi="Times New Roman"/>
                <w:sz w:val="20"/>
                <w:szCs w:val="20"/>
              </w:rPr>
              <w:t>7</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45/47/8</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7</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Лазовский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0/2/6</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0/0/2</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0/4/8</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0/4</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3/8</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8</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Лесозаводский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117/111/132</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28/26/78</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29/57/93</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101/73</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6/88</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9</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Михайловский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6/2/7</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6/2/3</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7/7/9</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60.5/52</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9/28</w:t>
            </w:r>
            <w:r>
              <w:rPr>
                <w:rFonts w:eastAsia="Times New Roman" w:cs="Times New Roman" w:ascii="Times New Roman" w:hAnsi="Times New Roman"/>
                <w:sz w:val="20"/>
                <w:szCs w:val="20"/>
              </w:rPr>
              <w:t>.6</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10</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Надеждинский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30/158/125</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47/79/62</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24/37/34</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1165/330</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1/36</w:t>
            </w:r>
            <w:r>
              <w:rPr>
                <w:rFonts w:eastAsia="Times New Roman" w:cs="Times New Roman" w:ascii="Times New Roman" w:hAnsi="Times New Roman"/>
                <w:sz w:val="20"/>
                <w:szCs w:val="20"/>
              </w:rPr>
              <w:t>.5</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11</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Октябрьский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7/3/180</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lang w:val="en-US"/>
              </w:rPr>
              <w:t>3/1/74</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4/1/143</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20/100/93</w:t>
            </w:r>
            <w:r>
              <w:rPr>
                <w:rFonts w:eastAsia="Times New Roman" w:cs="Times New Roman" w:ascii="Times New Roman" w:hAnsi="Times New Roman"/>
                <w:sz w:val="20"/>
                <w:szCs w:val="20"/>
              </w:rPr>
              <w:t>.9</w:t>
            </w:r>
          </w:p>
        </w:tc>
      </w:tr>
      <w:tr>
        <w:trPr>
          <w:trHeight w:val="300" w:hRule="atLeast"/>
        </w:trPr>
        <w:tc>
          <w:tcPr>
            <w:tcW w:w="5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12</w:t>
            </w:r>
          </w:p>
        </w:tc>
        <w:tc>
          <w:tcPr>
            <w:tcW w:w="184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Ольгинский</w:t>
            </w:r>
          </w:p>
        </w:tc>
        <w:tc>
          <w:tcPr>
            <w:tcW w:w="155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33/55/51</w:t>
            </w:r>
          </w:p>
        </w:tc>
        <w:tc>
          <w:tcPr>
            <w:tcW w:w="141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9/18/22</w:t>
            </w:r>
          </w:p>
        </w:tc>
        <w:tc>
          <w:tcPr>
            <w:tcW w:w="184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12/27/35</w:t>
            </w:r>
          </w:p>
        </w:tc>
        <w:tc>
          <w:tcPr>
            <w:tcW w:w="2233"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125/125</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1/15</w:t>
            </w:r>
            <w:r>
              <w:rPr>
                <w:rFonts w:eastAsia="Times New Roman" w:cs="Times New Roman" w:ascii="Times New Roman" w:hAnsi="Times New Roman"/>
                <w:sz w:val="20"/>
                <w:szCs w:val="20"/>
              </w:rPr>
              <w:t>.4</w:t>
            </w:r>
          </w:p>
        </w:tc>
      </w:tr>
      <w:tr>
        <w:trPr>
          <w:trHeight w:val="300" w:hRule="atLeast"/>
        </w:trPr>
        <w:tc>
          <w:tcPr>
            <w:tcW w:w="5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13</w:t>
            </w:r>
          </w:p>
        </w:tc>
        <w:tc>
          <w:tcPr>
            <w:tcW w:w="184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Партизанский</w:t>
            </w:r>
          </w:p>
        </w:tc>
        <w:tc>
          <w:tcPr>
            <w:tcW w:w="1558"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0/0/0</w:t>
            </w:r>
          </w:p>
        </w:tc>
        <w:tc>
          <w:tcPr>
            <w:tcW w:w="1419"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0/0/0</w:t>
            </w:r>
          </w:p>
        </w:tc>
        <w:tc>
          <w:tcPr>
            <w:tcW w:w="1842"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lang w:val="en-US"/>
              </w:rPr>
              <w:t>0/0/0</w:t>
            </w:r>
          </w:p>
        </w:tc>
        <w:tc>
          <w:tcPr>
            <w:tcW w:w="2233"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0/0/0</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14</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Пограничный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140/140/216</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52/49/94</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67/155/202</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795/328</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5/170</w:t>
            </w:r>
            <w:r>
              <w:rPr>
                <w:rFonts w:eastAsia="Times New Roman" w:cs="Times New Roman" w:ascii="Times New Roman" w:hAnsi="Times New Roman"/>
                <w:sz w:val="20"/>
                <w:szCs w:val="20"/>
              </w:rPr>
              <w:t>.4</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15</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Пожарский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1/6/7</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0/0/2</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0/0/1</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0/0/1</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16</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Спасский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71/67/121</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14/11/60</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11/47/79</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42/31</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1/57</w:t>
            </w:r>
            <w:r>
              <w:rPr>
                <w:rFonts w:eastAsia="Times New Roman" w:cs="Times New Roman" w:ascii="Times New Roman" w:hAnsi="Times New Roman"/>
                <w:sz w:val="20"/>
                <w:szCs w:val="20"/>
              </w:rPr>
              <w:t>.8</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17</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Тернейский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81/108/112</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6/20/43</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11/28/57</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71.6/161</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15/30</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25</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18</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Уссурийский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105/182/144</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56/49/114</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64/176/195</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629.6/610</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1/210</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9</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19</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Ханкайский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27/16/67</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2/2/11</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2/2/12</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20/10</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5/47</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5</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20</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Хасанский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0/28/140</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41/21/50</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18/47/51</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375/148</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7/60</w:t>
            </w:r>
            <w:r>
              <w:rPr>
                <w:rFonts w:eastAsia="Times New Roman" w:cs="Times New Roman" w:ascii="Times New Roman" w:hAnsi="Times New Roman"/>
                <w:sz w:val="20"/>
                <w:szCs w:val="20"/>
              </w:rPr>
              <w:t>.1</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21</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Хорольский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15/23/61</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1/0/5</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1/2/5</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0/1/2</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5</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22</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Черниговский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4/70/98</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1/12/43</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1/29/63</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0/60</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5/32</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4</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23</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Чугуевский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10/95/109</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6/9/51</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3/21/60</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5/347</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2/86</w:t>
            </w:r>
            <w:r>
              <w:rPr>
                <w:rFonts w:eastAsia="Times New Roman" w:cs="Times New Roman" w:ascii="Times New Roman" w:hAnsi="Times New Roman"/>
                <w:sz w:val="20"/>
                <w:szCs w:val="20"/>
              </w:rPr>
              <w:t>.3</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24</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Шкотовский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176/52/73</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39/31/52</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106/59/48</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346.7/135</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1/25</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3</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25</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Яковлевский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33/4/94</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7/3/37</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5/2/12</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77.7/20/5</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5</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26</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г. Арсеньев</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15/53/7</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10/15/43</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10/20/47</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195.5/51</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7/73</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2</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27</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г.</w:t>
            </w:r>
            <w:r>
              <w:rPr>
                <w:rFonts w:eastAsia="Times New Roman" w:cs="Times New Roman" w:ascii="Times New Roman" w:hAnsi="Times New Roman"/>
                <w:sz w:val="20"/>
                <w:szCs w:val="20"/>
                <w:lang w:val="en-US"/>
              </w:rPr>
              <w:t xml:space="preserve"> </w:t>
            </w:r>
            <w:r>
              <w:rPr>
                <w:rFonts w:eastAsia="Times New Roman" w:cs="Times New Roman" w:ascii="Times New Roman" w:hAnsi="Times New Roman"/>
                <w:sz w:val="20"/>
                <w:szCs w:val="20"/>
              </w:rPr>
              <w:t>Артем</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158/182/313</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216/172/170</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147/158/218</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2021/1793</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1/229</w:t>
            </w:r>
            <w:r>
              <w:rPr>
                <w:rFonts w:eastAsia="Times New Roman" w:cs="Times New Roman" w:ascii="Times New Roman" w:hAnsi="Times New Roman"/>
                <w:sz w:val="20"/>
                <w:szCs w:val="20"/>
              </w:rPr>
              <w:t>.5</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28</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г.</w:t>
            </w:r>
            <w:r>
              <w:rPr>
                <w:rFonts w:eastAsia="Times New Roman" w:cs="Times New Roman" w:ascii="Times New Roman" w:hAnsi="Times New Roman"/>
                <w:sz w:val="20"/>
                <w:szCs w:val="20"/>
                <w:lang w:val="en-US"/>
              </w:rPr>
              <w:t xml:space="preserve"> </w:t>
            </w:r>
            <w:r>
              <w:rPr>
                <w:rFonts w:eastAsia="Times New Roman" w:cs="Times New Roman" w:ascii="Times New Roman" w:hAnsi="Times New Roman"/>
                <w:sz w:val="20"/>
                <w:szCs w:val="20"/>
              </w:rPr>
              <w:t>Владивосток</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112/114/171</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297/400/225</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177/228/207</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2411.25/7345</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81/704</w:t>
            </w:r>
            <w:r>
              <w:rPr>
                <w:rFonts w:eastAsia="Times New Roman" w:cs="Times New Roman" w:ascii="Times New Roman" w:hAnsi="Times New Roman"/>
                <w:sz w:val="20"/>
                <w:szCs w:val="20"/>
              </w:rPr>
              <w:t>.75</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29</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г. Дальнереченск</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35/</w:t>
            </w:r>
            <w:r>
              <w:rPr>
                <w:rFonts w:eastAsia="Times New Roman" w:cs="Times New Roman" w:ascii="Times New Roman" w:hAnsi="Times New Roman"/>
                <w:sz w:val="20"/>
                <w:szCs w:val="20"/>
              </w:rPr>
              <w:t>70/52</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lang w:val="en-US"/>
              </w:rPr>
              <w:t>18/</w:t>
            </w:r>
            <w:r>
              <w:rPr>
                <w:rFonts w:eastAsia="Times New Roman" w:cs="Times New Roman" w:ascii="Times New Roman" w:hAnsi="Times New Roman"/>
                <w:sz w:val="20"/>
                <w:szCs w:val="20"/>
              </w:rPr>
              <w:t>31/29</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lang w:val="en-US"/>
              </w:rPr>
              <w:t>4/</w:t>
            </w:r>
            <w:r>
              <w:rPr>
                <w:rFonts w:eastAsia="Times New Roman" w:cs="Times New Roman" w:ascii="Times New Roman" w:hAnsi="Times New Roman"/>
                <w:sz w:val="20"/>
                <w:szCs w:val="20"/>
              </w:rPr>
              <w:t>11/10</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lang w:val="en-US"/>
              </w:rPr>
              <w:t>23.5/</w:t>
            </w:r>
            <w:r>
              <w:rPr>
                <w:rFonts w:eastAsia="Times New Roman" w:cs="Times New Roman" w:ascii="Times New Roman" w:hAnsi="Times New Roman"/>
                <w:sz w:val="20"/>
                <w:szCs w:val="20"/>
              </w:rPr>
              <w:t>33,4/25.5</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30</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г.</w:t>
            </w:r>
            <w:r>
              <w:rPr>
                <w:rFonts w:eastAsia="Times New Roman" w:cs="Times New Roman" w:ascii="Times New Roman" w:hAnsi="Times New Roman"/>
                <w:sz w:val="20"/>
                <w:szCs w:val="20"/>
                <w:lang w:val="en-US"/>
              </w:rPr>
              <w:t xml:space="preserve"> </w:t>
            </w:r>
            <w:r>
              <w:rPr>
                <w:rFonts w:eastAsia="Times New Roman" w:cs="Times New Roman" w:ascii="Times New Roman" w:hAnsi="Times New Roman"/>
                <w:sz w:val="20"/>
                <w:szCs w:val="20"/>
              </w:rPr>
              <w:t>Б.Камень</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54/58</w:t>
            </w:r>
            <w:r>
              <w:rPr>
                <w:rFonts w:eastAsia="Times New Roman" w:cs="Times New Roman" w:ascii="Times New Roman" w:hAnsi="Times New Roman"/>
                <w:sz w:val="20"/>
                <w:szCs w:val="20"/>
              </w:rPr>
              <w:t>/41</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lang w:val="en-US"/>
              </w:rPr>
              <w:t>15/26</w:t>
            </w:r>
            <w:r>
              <w:rPr>
                <w:rFonts w:eastAsia="Times New Roman" w:cs="Times New Roman" w:ascii="Times New Roman" w:hAnsi="Times New Roman"/>
                <w:sz w:val="20"/>
                <w:szCs w:val="20"/>
              </w:rPr>
              <w:t>/21</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lang w:val="en-US"/>
              </w:rPr>
              <w:t>20/29</w:t>
            </w:r>
            <w:r>
              <w:rPr>
                <w:rFonts w:eastAsia="Times New Roman" w:cs="Times New Roman" w:ascii="Times New Roman" w:hAnsi="Times New Roman"/>
                <w:sz w:val="20"/>
                <w:szCs w:val="20"/>
              </w:rPr>
              <w:t>/25</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lang w:val="en-US"/>
              </w:rPr>
              <w:t>195.9/673</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9</w:t>
            </w:r>
            <w:r>
              <w:rPr>
                <w:rFonts w:eastAsia="Times New Roman" w:cs="Times New Roman" w:ascii="Times New Roman" w:hAnsi="Times New Roman"/>
                <w:sz w:val="20"/>
                <w:szCs w:val="20"/>
              </w:rPr>
              <w:t>/46.4</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31</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г.</w:t>
            </w:r>
            <w:r>
              <w:rPr>
                <w:rFonts w:eastAsia="Times New Roman" w:cs="Times New Roman" w:ascii="Times New Roman" w:hAnsi="Times New Roman"/>
                <w:sz w:val="20"/>
                <w:szCs w:val="20"/>
                <w:lang w:val="en-US"/>
              </w:rPr>
              <w:t xml:space="preserve"> </w:t>
            </w:r>
            <w:r>
              <w:rPr>
                <w:rFonts w:eastAsia="Times New Roman" w:cs="Times New Roman" w:ascii="Times New Roman" w:hAnsi="Times New Roman"/>
                <w:sz w:val="20"/>
                <w:szCs w:val="20"/>
              </w:rPr>
              <w:t>Находка</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281/342</w:t>
            </w:r>
            <w:r>
              <w:rPr>
                <w:rFonts w:eastAsia="Times New Roman" w:cs="Times New Roman" w:ascii="Times New Roman" w:hAnsi="Times New Roman"/>
                <w:sz w:val="20"/>
                <w:szCs w:val="20"/>
              </w:rPr>
              <w:t>/257</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lang w:val="en-US"/>
              </w:rPr>
              <w:t>110/135</w:t>
            </w:r>
            <w:r>
              <w:rPr>
                <w:rFonts w:eastAsia="Times New Roman" w:cs="Times New Roman" w:ascii="Times New Roman" w:hAnsi="Times New Roman"/>
                <w:sz w:val="20"/>
                <w:szCs w:val="20"/>
              </w:rPr>
              <w:t>/105</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lang w:val="en-US"/>
              </w:rPr>
              <w:t>132/160</w:t>
            </w:r>
            <w:r>
              <w:rPr>
                <w:rFonts w:eastAsia="Times New Roman" w:cs="Times New Roman" w:ascii="Times New Roman" w:hAnsi="Times New Roman"/>
                <w:sz w:val="20"/>
                <w:szCs w:val="20"/>
              </w:rPr>
              <w:t>/127</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1337.5/1018</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7/201</w:t>
            </w:r>
            <w:r>
              <w:rPr>
                <w:rFonts w:eastAsia="Times New Roman" w:cs="Times New Roman" w:ascii="Times New Roman" w:hAnsi="Times New Roman"/>
                <w:sz w:val="20"/>
                <w:szCs w:val="20"/>
              </w:rPr>
              <w:t>.6</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32</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г.</w:t>
            </w:r>
            <w:r>
              <w:rPr>
                <w:rFonts w:eastAsia="Times New Roman" w:cs="Times New Roman" w:ascii="Times New Roman" w:hAnsi="Times New Roman"/>
                <w:sz w:val="20"/>
                <w:szCs w:val="20"/>
                <w:lang w:val="en-US"/>
              </w:rPr>
              <w:t xml:space="preserve"> </w:t>
            </w:r>
            <w:r>
              <w:rPr>
                <w:rFonts w:eastAsia="Times New Roman" w:cs="Times New Roman" w:ascii="Times New Roman" w:hAnsi="Times New Roman"/>
                <w:sz w:val="20"/>
                <w:szCs w:val="20"/>
              </w:rPr>
              <w:t>Спасск-Дальний</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79/81/135</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22/10/66</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18/43/73</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79/39</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5/40</w:t>
            </w:r>
            <w:r>
              <w:rPr>
                <w:rFonts w:eastAsia="Times New Roman" w:cs="Times New Roman" w:ascii="Times New Roman" w:hAnsi="Times New Roman"/>
                <w:sz w:val="20"/>
                <w:szCs w:val="20"/>
              </w:rPr>
              <w:t>.8</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33</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г.</w:t>
            </w:r>
            <w:r>
              <w:rPr>
                <w:rFonts w:eastAsia="Times New Roman" w:cs="Times New Roman" w:ascii="Times New Roman" w:hAnsi="Times New Roman"/>
                <w:sz w:val="20"/>
                <w:szCs w:val="20"/>
                <w:lang w:val="en-US"/>
              </w:rPr>
              <w:t xml:space="preserve"> </w:t>
            </w:r>
            <w:r>
              <w:rPr>
                <w:rFonts w:eastAsia="Times New Roman" w:cs="Times New Roman" w:ascii="Times New Roman" w:hAnsi="Times New Roman"/>
                <w:sz w:val="20"/>
                <w:szCs w:val="20"/>
              </w:rPr>
              <w:t>Партизанск</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92/106/98</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29/42/58</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51/38/46</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708/563</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1/23</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34</w:t>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г.</w:t>
            </w:r>
            <w:r>
              <w:rPr>
                <w:rFonts w:eastAsia="Times New Roman" w:cs="Times New Roman" w:ascii="Times New Roman" w:hAnsi="Times New Roman"/>
                <w:sz w:val="20"/>
                <w:szCs w:val="20"/>
                <w:lang w:val="en-US"/>
              </w:rPr>
              <w:t xml:space="preserve"> </w:t>
            </w:r>
            <w:r>
              <w:rPr>
                <w:rFonts w:eastAsia="Times New Roman" w:cs="Times New Roman" w:ascii="Times New Roman" w:hAnsi="Times New Roman"/>
                <w:sz w:val="20"/>
                <w:szCs w:val="20"/>
              </w:rPr>
              <w:t>Фокино</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79/16/11</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22/23/7</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24/11/9</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132.8/287</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1/5</w:t>
            </w:r>
            <w:r>
              <w:rPr>
                <w:rFonts w:eastAsia="Times New Roman" w:cs="Times New Roman" w:ascii="Times New Roman" w:hAnsi="Times New Roman"/>
                <w:sz w:val="20"/>
                <w:szCs w:val="20"/>
              </w:rPr>
              <w:t>.6</w:t>
            </w:r>
          </w:p>
        </w:tc>
      </w:tr>
      <w:tr>
        <w:trPr>
          <w:trHeight w:val="300" w:hRule="atLeast"/>
        </w:trPr>
        <w:tc>
          <w:tcPr>
            <w:tcW w:w="5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rPr>
            </w:pPr>
            <w:r>
              <w:rPr/>
            </w:r>
          </w:p>
        </w:tc>
        <w:tc>
          <w:tcPr>
            <w:tcW w:w="1844"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Итого</w:t>
            </w:r>
          </w:p>
        </w:tc>
        <w:tc>
          <w:tcPr>
            <w:tcW w:w="1558"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2195/2623/3455</w:t>
            </w:r>
          </w:p>
        </w:tc>
        <w:tc>
          <w:tcPr>
            <w:tcW w:w="141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1260/1366/1826</w:t>
            </w:r>
          </w:p>
        </w:tc>
        <w:tc>
          <w:tcPr>
            <w:tcW w:w="184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1048/1603/2135</w:t>
            </w:r>
          </w:p>
        </w:tc>
        <w:tc>
          <w:tcPr>
            <w:tcW w:w="2233"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t>12052,85/17253</w:t>
            </w:r>
            <w:r>
              <w:rPr>
                <w:rFonts w:eastAsia="Times New Roman" w:cs="Times New Roman" w:ascii="Times New Roman" w:hAnsi="Times New Roman"/>
                <w:sz w:val="20"/>
                <w:szCs w:val="20"/>
              </w:rPr>
              <w:t>,</w:t>
            </w:r>
            <w:r>
              <w:rPr>
                <w:rFonts w:eastAsia="Times New Roman" w:cs="Times New Roman" w:ascii="Times New Roman" w:hAnsi="Times New Roman"/>
                <w:sz w:val="20"/>
                <w:szCs w:val="20"/>
                <w:lang w:val="en-US"/>
              </w:rPr>
              <w:t>8/2591</w:t>
            </w:r>
            <w:r>
              <w:rPr>
                <w:rFonts w:eastAsia="Times New Roman" w:cs="Times New Roman" w:ascii="Times New Roman" w:hAnsi="Times New Roman"/>
                <w:sz w:val="20"/>
                <w:szCs w:val="20"/>
              </w:rPr>
              <w:t>.25</w:t>
            </w:r>
          </w:p>
        </w:tc>
      </w:tr>
      <w:tr>
        <w:trPr>
          <w:trHeight w:val="300" w:hRule="atLeast"/>
        </w:trPr>
        <w:tc>
          <w:tcPr>
            <w:tcW w:w="1086" w:type="dxa"/>
            <w:gridSpan w:val="2"/>
            <w:tcBorders/>
            <w:shd w:color="auto" w:fill="auto" w:val="clear"/>
            <w:vAlign w:val="bottom"/>
          </w:tcPr>
          <w:p>
            <w:pPr>
              <w:pStyle w:val="Normal"/>
              <w:widowControl w:val="false"/>
              <w:spacing w:lineRule="auto" w:line="240" w:before="0" w:after="0"/>
              <w:rPr>
                <w:rFonts w:ascii="Calibri" w:hAnsi="Calibri" w:eastAsia="Times New Roman" w:cs="Times New Roman"/>
              </w:rPr>
            </w:pPr>
            <w:r>
              <w:rPr>
                <w:rFonts w:eastAsia="Times New Roman" w:cs="Times New Roman"/>
              </w:rPr>
            </w:r>
          </w:p>
        </w:tc>
        <w:tc>
          <w:tcPr>
            <w:tcW w:w="1917" w:type="dxa"/>
            <w:gridSpan w:val="2"/>
            <w:tcBorders/>
            <w:shd w:color="auto" w:fill="auto" w:val="clear"/>
            <w:vAlign w:val="bottom"/>
          </w:tcPr>
          <w:p>
            <w:pPr>
              <w:pStyle w:val="Normal"/>
              <w:widowControl w:val="false"/>
              <w:spacing w:lineRule="auto" w:line="240" w:before="0" w:after="0"/>
              <w:rPr>
                <w:rFonts w:ascii="Calibri" w:hAnsi="Calibri" w:eastAsia="Times New Roman" w:cs="Times New Roman"/>
              </w:rPr>
            </w:pPr>
            <w:r>
              <w:rPr>
                <w:rFonts w:eastAsia="Times New Roman" w:cs="Times New Roman"/>
              </w:rPr>
            </w:r>
          </w:p>
        </w:tc>
        <w:tc>
          <w:tcPr>
            <w:tcW w:w="1603" w:type="dxa"/>
            <w:gridSpan w:val="2"/>
            <w:tcBorders/>
            <w:shd w:color="auto" w:fill="auto" w:val="clear"/>
            <w:vAlign w:val="bottom"/>
          </w:tcPr>
          <w:p>
            <w:pPr>
              <w:pStyle w:val="Normal"/>
              <w:widowControl w:val="false"/>
              <w:spacing w:lineRule="auto" w:line="240" w:before="0" w:after="0"/>
              <w:rPr>
                <w:rFonts w:ascii="Calibri" w:hAnsi="Calibri" w:eastAsia="Times New Roman" w:cs="Times New Roman"/>
              </w:rPr>
            </w:pPr>
            <w:r>
              <w:rPr>
                <w:rFonts w:eastAsia="Times New Roman" w:cs="Times New Roman"/>
              </w:rPr>
            </w:r>
          </w:p>
        </w:tc>
        <w:tc>
          <w:tcPr>
            <w:tcW w:w="1597" w:type="dxa"/>
            <w:gridSpan w:val="2"/>
            <w:tcBorders/>
            <w:shd w:color="auto" w:fill="auto" w:val="clear"/>
            <w:vAlign w:val="bottom"/>
          </w:tcPr>
          <w:p>
            <w:pPr>
              <w:pStyle w:val="Normal"/>
              <w:widowControl w:val="false"/>
              <w:spacing w:lineRule="auto" w:line="240" w:before="0" w:after="0"/>
              <w:rPr>
                <w:rFonts w:ascii="Calibri" w:hAnsi="Calibri" w:eastAsia="Times New Roman" w:cs="Times New Roman"/>
              </w:rPr>
            </w:pPr>
            <w:r>
              <w:rPr>
                <w:rFonts w:eastAsia="Times New Roman" w:cs="Times New Roman"/>
              </w:rPr>
            </w:r>
          </w:p>
        </w:tc>
        <w:tc>
          <w:tcPr>
            <w:tcW w:w="2493" w:type="dxa"/>
            <w:gridSpan w:val="2"/>
            <w:tcBorders/>
            <w:shd w:color="auto" w:fill="auto" w:val="clear"/>
            <w:vAlign w:val="bottom"/>
          </w:tcPr>
          <w:p>
            <w:pPr>
              <w:pStyle w:val="Normal"/>
              <w:widowControl w:val="false"/>
              <w:spacing w:lineRule="auto" w:line="240" w:before="0" w:after="0"/>
              <w:rPr>
                <w:rFonts w:ascii="Calibri" w:hAnsi="Calibri" w:eastAsia="Times New Roman" w:cs="Times New Roman"/>
              </w:rPr>
            </w:pPr>
            <w:r>
              <w:rPr>
                <w:rFonts w:eastAsia="Times New Roman" w:cs="Times New Roman"/>
              </w:rPr>
            </w:r>
          </w:p>
        </w:tc>
        <w:tc>
          <w:tcPr>
            <w:tcW w:w="422" w:type="dxa"/>
            <w:tcBorders/>
            <w:shd w:color="auto" w:fill="auto" w:val="clear"/>
            <w:vAlign w:val="bottom"/>
          </w:tcPr>
          <w:p>
            <w:pPr>
              <w:pStyle w:val="Normal"/>
              <w:widowControl w:val="false"/>
              <w:spacing w:lineRule="auto" w:line="240" w:before="0" w:after="0"/>
              <w:rPr>
                <w:rFonts w:ascii="Calibri" w:hAnsi="Calibri" w:eastAsia="Times New Roman" w:cs="Times New Roman"/>
              </w:rPr>
            </w:pPr>
            <w:r>
              <w:rPr>
                <w:rFonts w:eastAsia="Times New Roman" w:cs="Times New Roman"/>
              </w:rPr>
            </w:r>
          </w:p>
        </w:tc>
        <w:tc>
          <w:tcPr>
            <w:tcW w:w="359" w:type="dxa"/>
            <w:tcBorders/>
          </w:tcPr>
          <w:p>
            <w:pPr>
              <w:pStyle w:val="Normal"/>
              <w:widowControl w:val="false"/>
              <w:spacing w:before="0" w:after="200"/>
              <w:rPr/>
            </w:pPr>
            <w:r>
              <w:rPr/>
            </w:r>
          </w:p>
        </w:tc>
      </w:tr>
    </w:tbl>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Показатели эффективности деятельности по итогам за 2016 год, в  разрезе межмуниципальных отделов, представлены в таблице 16.</w:t>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contextualSpacing/>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xml:space="preserve">                                                                                                                       </w:t>
      </w:r>
      <w:r>
        <w:rPr>
          <w:rFonts w:eastAsia="Times New Roman" w:cs="Times New Roman" w:ascii="Times New Roman" w:hAnsi="Times New Roman"/>
          <w:sz w:val="26"/>
          <w:szCs w:val="26"/>
        </w:rPr>
        <w:t>Таблица 16</w:t>
      </w:r>
    </w:p>
    <w:tbl>
      <w:tblPr>
        <w:tblStyle w:val="1e"/>
        <w:tblW w:w="936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55"/>
        <w:gridCol w:w="2397"/>
        <w:gridCol w:w="975"/>
        <w:gridCol w:w="1043"/>
        <w:gridCol w:w="1063"/>
        <w:gridCol w:w="1064"/>
        <w:gridCol w:w="1048"/>
        <w:gridCol w:w="1118"/>
      </w:tblGrid>
      <w:tr>
        <w:trPr>
          <w:trHeight w:val="1816" w:hRule="atLeast"/>
          <w:cantSplit w:val="true"/>
        </w:trPr>
        <w:tc>
          <w:tcPr>
            <w:tcW w:w="655" w:type="dxa"/>
            <w:tcBorders/>
            <w:textDirection w:val="btLr"/>
          </w:tcPr>
          <w:p>
            <w:pPr>
              <w:pStyle w:val="Normal"/>
              <w:widowControl/>
              <w:spacing w:lineRule="auto" w:line="240" w:before="0" w:after="0"/>
              <w:ind w:right="113" w:hanging="0"/>
              <w:contextualSpacing/>
              <w:jc w:val="center"/>
              <w:rPr>
                <w:sz w:val="18"/>
                <w:szCs w:val="18"/>
                <w:lang w:eastAsia="en-US"/>
              </w:rPr>
            </w:pPr>
            <w:r>
              <w:rPr>
                <w:rFonts w:eastAsia="Times New Roman" w:cs="Times New Roman" w:ascii="Times New Roman" w:hAnsi="Times New Roman"/>
                <w:kern w:val="0"/>
                <w:sz w:val="18"/>
                <w:szCs w:val="18"/>
                <w:lang w:val="ru-RU" w:eastAsia="en-US" w:bidi="ar-SA"/>
              </w:rPr>
              <w:t xml:space="preserve">№ </w:t>
            </w:r>
            <w:r>
              <w:rPr>
                <w:rFonts w:eastAsia="Times New Roman" w:cs="Times New Roman" w:ascii="Times New Roman" w:hAnsi="Times New Roman"/>
                <w:kern w:val="0"/>
                <w:sz w:val="18"/>
                <w:szCs w:val="18"/>
                <w:lang w:val="ru-RU" w:eastAsia="en-US" w:bidi="ar-SA"/>
              </w:rPr>
              <w:t>п/п</w:t>
            </w:r>
          </w:p>
        </w:tc>
        <w:tc>
          <w:tcPr>
            <w:tcW w:w="2397" w:type="dxa"/>
            <w:tcBorders/>
          </w:tcPr>
          <w:p>
            <w:pPr>
              <w:pStyle w:val="Normal"/>
              <w:widowControl/>
              <w:spacing w:lineRule="auto" w:line="240" w:before="0" w:after="0"/>
              <w:contextualSpacing/>
              <w:jc w:val="center"/>
              <w:rPr>
                <w:sz w:val="18"/>
                <w:szCs w:val="18"/>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18"/>
                <w:szCs w:val="18"/>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18"/>
                <w:szCs w:val="18"/>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18"/>
                <w:szCs w:val="18"/>
                <w:lang w:eastAsia="en-US"/>
              </w:rPr>
            </w:pPr>
            <w:r>
              <w:rPr>
                <w:rFonts w:eastAsia="Times New Roman" w:cs="Times New Roman" w:ascii="Times New Roman" w:hAnsi="Times New Roman"/>
                <w:kern w:val="0"/>
                <w:sz w:val="18"/>
                <w:szCs w:val="18"/>
                <w:lang w:val="ru-RU" w:eastAsia="en-US" w:bidi="ar-SA"/>
              </w:rPr>
              <w:t>Наименование  отдела</w:t>
            </w:r>
          </w:p>
        </w:tc>
        <w:tc>
          <w:tcPr>
            <w:tcW w:w="975" w:type="dxa"/>
            <w:tcBorders/>
            <w:textDirection w:val="btLr"/>
          </w:tcPr>
          <w:p>
            <w:pPr>
              <w:pStyle w:val="Normal"/>
              <w:widowControl/>
              <w:spacing w:lineRule="auto" w:line="240" w:before="0" w:after="0"/>
              <w:ind w:right="113" w:hanging="0"/>
              <w:contextualSpacing/>
              <w:jc w:val="center"/>
              <w:rPr>
                <w:sz w:val="18"/>
                <w:szCs w:val="18"/>
                <w:lang w:eastAsia="en-US"/>
              </w:rPr>
            </w:pPr>
            <w:r>
              <w:rPr>
                <w:rFonts w:eastAsia="Times New Roman" w:cs="Times New Roman" w:ascii="Times New Roman" w:hAnsi="Times New Roman"/>
                <w:kern w:val="0"/>
                <w:sz w:val="18"/>
                <w:szCs w:val="18"/>
                <w:lang w:val="ru-RU" w:eastAsia="en-US" w:bidi="ar-SA"/>
              </w:rPr>
              <w:t>Нагрузка на одного  инспектора, %</w:t>
            </w:r>
          </w:p>
        </w:tc>
        <w:tc>
          <w:tcPr>
            <w:tcW w:w="1043" w:type="dxa"/>
            <w:tcBorders/>
            <w:textDirection w:val="btLr"/>
          </w:tcPr>
          <w:p>
            <w:pPr>
              <w:pStyle w:val="Normal"/>
              <w:widowControl/>
              <w:spacing w:lineRule="auto" w:line="240" w:before="0" w:after="0"/>
              <w:ind w:right="113" w:hanging="0"/>
              <w:contextualSpacing/>
              <w:jc w:val="center"/>
              <w:rPr>
                <w:sz w:val="18"/>
                <w:szCs w:val="18"/>
                <w:lang w:eastAsia="en-US"/>
              </w:rPr>
            </w:pPr>
            <w:r>
              <w:rPr>
                <w:rFonts w:eastAsia="Times New Roman" w:cs="Times New Roman" w:ascii="Times New Roman" w:hAnsi="Times New Roman"/>
                <w:kern w:val="0"/>
                <w:sz w:val="18"/>
                <w:szCs w:val="18"/>
                <w:lang w:val="ru-RU" w:eastAsia="en-US" w:bidi="ar-SA"/>
              </w:rPr>
              <w:t>Доля проверок, по которым выявлены  нарушения, %</w:t>
            </w:r>
          </w:p>
        </w:tc>
        <w:tc>
          <w:tcPr>
            <w:tcW w:w="1063" w:type="dxa"/>
            <w:tcBorders/>
            <w:textDirection w:val="btLr"/>
          </w:tcPr>
          <w:p>
            <w:pPr>
              <w:pStyle w:val="Normal"/>
              <w:widowControl/>
              <w:spacing w:lineRule="auto" w:line="240" w:before="0" w:after="0"/>
              <w:ind w:right="113" w:hanging="0"/>
              <w:contextualSpacing/>
              <w:jc w:val="center"/>
              <w:rPr>
                <w:sz w:val="18"/>
                <w:szCs w:val="18"/>
                <w:lang w:eastAsia="en-US"/>
              </w:rPr>
            </w:pPr>
            <w:r>
              <w:rPr>
                <w:rFonts w:eastAsia="Times New Roman" w:cs="Times New Roman" w:ascii="Times New Roman" w:hAnsi="Times New Roman"/>
                <w:kern w:val="0"/>
                <w:sz w:val="18"/>
                <w:szCs w:val="18"/>
                <w:lang w:val="ru-RU" w:eastAsia="en-US" w:bidi="ar-SA"/>
              </w:rPr>
              <w:t>Доля нарушений, которые устранены, %</w:t>
            </w:r>
          </w:p>
        </w:tc>
        <w:tc>
          <w:tcPr>
            <w:tcW w:w="1064" w:type="dxa"/>
            <w:tcBorders/>
            <w:textDirection w:val="btLr"/>
          </w:tcPr>
          <w:p>
            <w:pPr>
              <w:pStyle w:val="Normal"/>
              <w:widowControl/>
              <w:spacing w:lineRule="auto" w:line="240" w:before="0" w:after="0"/>
              <w:ind w:right="113" w:hanging="0"/>
              <w:contextualSpacing/>
              <w:jc w:val="center"/>
              <w:rPr>
                <w:sz w:val="18"/>
                <w:szCs w:val="18"/>
                <w:lang w:eastAsia="en-US"/>
              </w:rPr>
            </w:pPr>
            <w:r>
              <w:rPr>
                <w:rFonts w:eastAsia="Times New Roman" w:cs="Times New Roman" w:ascii="Times New Roman" w:hAnsi="Times New Roman"/>
                <w:kern w:val="0"/>
                <w:sz w:val="18"/>
                <w:szCs w:val="18"/>
                <w:lang w:val="ru-RU" w:eastAsia="en-US" w:bidi="ar-SA"/>
              </w:rPr>
              <w:t>Полнота  взыскания административных штрафов, %</w:t>
            </w:r>
          </w:p>
        </w:tc>
        <w:tc>
          <w:tcPr>
            <w:tcW w:w="1048" w:type="dxa"/>
            <w:tcBorders/>
            <w:textDirection w:val="btLr"/>
          </w:tcPr>
          <w:p>
            <w:pPr>
              <w:pStyle w:val="Normal"/>
              <w:widowControl/>
              <w:spacing w:lineRule="auto" w:line="240" w:before="0" w:after="0"/>
              <w:ind w:right="113" w:hanging="0"/>
              <w:contextualSpacing/>
              <w:jc w:val="center"/>
              <w:rPr>
                <w:sz w:val="18"/>
                <w:szCs w:val="18"/>
                <w:lang w:eastAsia="en-US"/>
              </w:rPr>
            </w:pPr>
            <w:r>
              <w:rPr>
                <w:rFonts w:eastAsia="Times New Roman" w:cs="Times New Roman" w:ascii="Times New Roman" w:hAnsi="Times New Roman"/>
                <w:kern w:val="0"/>
                <w:sz w:val="18"/>
                <w:szCs w:val="18"/>
                <w:lang w:val="ru-RU" w:eastAsia="en-US" w:bidi="ar-SA"/>
              </w:rPr>
              <w:t>Выполняемость планов, %</w:t>
            </w:r>
          </w:p>
        </w:tc>
        <w:tc>
          <w:tcPr>
            <w:tcW w:w="1118" w:type="dxa"/>
            <w:tcBorders/>
            <w:textDirection w:val="btLr"/>
          </w:tcPr>
          <w:p>
            <w:pPr>
              <w:pStyle w:val="Normal"/>
              <w:widowControl/>
              <w:spacing w:lineRule="auto" w:line="240" w:before="0" w:after="0"/>
              <w:ind w:right="113" w:hanging="0"/>
              <w:contextualSpacing/>
              <w:jc w:val="center"/>
              <w:rPr>
                <w:sz w:val="18"/>
                <w:szCs w:val="18"/>
                <w:lang w:eastAsia="en-US"/>
              </w:rPr>
            </w:pPr>
            <w:r>
              <w:rPr>
                <w:rFonts w:eastAsia="Times New Roman" w:cs="Times New Roman" w:ascii="Times New Roman" w:hAnsi="Times New Roman"/>
                <w:kern w:val="0"/>
                <w:sz w:val="18"/>
                <w:szCs w:val="18"/>
                <w:lang w:val="ru-RU" w:eastAsia="en-US" w:bidi="ar-SA"/>
              </w:rPr>
              <w:t>Доля  отмененных  постановлений, %</w:t>
            </w:r>
          </w:p>
        </w:tc>
      </w:tr>
      <w:tr>
        <w:trPr/>
        <w:tc>
          <w:tcPr>
            <w:tcW w:w="65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w:t>
            </w:r>
          </w:p>
        </w:tc>
        <w:tc>
          <w:tcPr>
            <w:tcW w:w="2397"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Арсеньевский</w:t>
            </w:r>
          </w:p>
        </w:tc>
        <w:tc>
          <w:tcPr>
            <w:tcW w:w="97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162</w:t>
            </w:r>
          </w:p>
        </w:tc>
        <w:tc>
          <w:tcPr>
            <w:tcW w:w="104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23,2</w:t>
            </w:r>
          </w:p>
        </w:tc>
        <w:tc>
          <w:tcPr>
            <w:tcW w:w="106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72,2</w:t>
            </w:r>
          </w:p>
        </w:tc>
        <w:tc>
          <w:tcPr>
            <w:tcW w:w="1064"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57,7</w:t>
            </w:r>
          </w:p>
        </w:tc>
        <w:tc>
          <w:tcPr>
            <w:tcW w:w="104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96,3</w:t>
            </w:r>
          </w:p>
        </w:tc>
        <w:tc>
          <w:tcPr>
            <w:tcW w:w="111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0</w:t>
            </w:r>
          </w:p>
        </w:tc>
      </w:tr>
      <w:tr>
        <w:trPr/>
        <w:tc>
          <w:tcPr>
            <w:tcW w:w="65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2</w:t>
            </w:r>
          </w:p>
        </w:tc>
        <w:tc>
          <w:tcPr>
            <w:tcW w:w="2397"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Артемовский</w:t>
            </w:r>
          </w:p>
        </w:tc>
        <w:tc>
          <w:tcPr>
            <w:tcW w:w="97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134,1</w:t>
            </w:r>
          </w:p>
        </w:tc>
        <w:tc>
          <w:tcPr>
            <w:tcW w:w="104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149,6</w:t>
            </w:r>
          </w:p>
        </w:tc>
        <w:tc>
          <w:tcPr>
            <w:tcW w:w="106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62,5</w:t>
            </w:r>
          </w:p>
        </w:tc>
        <w:tc>
          <w:tcPr>
            <w:tcW w:w="1064"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53,6</w:t>
            </w:r>
          </w:p>
        </w:tc>
        <w:tc>
          <w:tcPr>
            <w:tcW w:w="104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65,4</w:t>
            </w:r>
          </w:p>
        </w:tc>
        <w:tc>
          <w:tcPr>
            <w:tcW w:w="111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39,1</w:t>
            </w:r>
          </w:p>
        </w:tc>
      </w:tr>
      <w:tr>
        <w:trPr/>
        <w:tc>
          <w:tcPr>
            <w:tcW w:w="65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3</w:t>
            </w:r>
          </w:p>
        </w:tc>
        <w:tc>
          <w:tcPr>
            <w:tcW w:w="2397"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Большекаменский</w:t>
            </w:r>
          </w:p>
        </w:tc>
        <w:tc>
          <w:tcPr>
            <w:tcW w:w="97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176,1</w:t>
            </w:r>
          </w:p>
        </w:tc>
        <w:tc>
          <w:tcPr>
            <w:tcW w:w="104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38,4</w:t>
            </w:r>
          </w:p>
        </w:tc>
        <w:tc>
          <w:tcPr>
            <w:tcW w:w="106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195,6</w:t>
            </w:r>
          </w:p>
        </w:tc>
        <w:tc>
          <w:tcPr>
            <w:tcW w:w="1064"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80,7</w:t>
            </w:r>
          </w:p>
        </w:tc>
        <w:tc>
          <w:tcPr>
            <w:tcW w:w="104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89</w:t>
            </w:r>
          </w:p>
        </w:tc>
        <w:tc>
          <w:tcPr>
            <w:tcW w:w="111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57,1</w:t>
            </w:r>
          </w:p>
        </w:tc>
      </w:tr>
      <w:tr>
        <w:trPr/>
        <w:tc>
          <w:tcPr>
            <w:tcW w:w="65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4</w:t>
            </w:r>
          </w:p>
        </w:tc>
        <w:tc>
          <w:tcPr>
            <w:tcW w:w="2397"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Дальнегорский</w:t>
            </w:r>
          </w:p>
        </w:tc>
        <w:tc>
          <w:tcPr>
            <w:tcW w:w="97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126,2</w:t>
            </w:r>
          </w:p>
        </w:tc>
        <w:tc>
          <w:tcPr>
            <w:tcW w:w="104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28,2</w:t>
            </w:r>
          </w:p>
        </w:tc>
        <w:tc>
          <w:tcPr>
            <w:tcW w:w="106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122,2</w:t>
            </w:r>
          </w:p>
        </w:tc>
        <w:tc>
          <w:tcPr>
            <w:tcW w:w="1064"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50</w:t>
            </w:r>
          </w:p>
        </w:tc>
        <w:tc>
          <w:tcPr>
            <w:tcW w:w="104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92,2</w:t>
            </w:r>
          </w:p>
        </w:tc>
        <w:tc>
          <w:tcPr>
            <w:tcW w:w="111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0</w:t>
            </w:r>
          </w:p>
        </w:tc>
      </w:tr>
      <w:tr>
        <w:trPr/>
        <w:tc>
          <w:tcPr>
            <w:tcW w:w="65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5</w:t>
            </w:r>
          </w:p>
        </w:tc>
        <w:tc>
          <w:tcPr>
            <w:tcW w:w="2397"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Дальнереченский</w:t>
            </w:r>
          </w:p>
        </w:tc>
        <w:tc>
          <w:tcPr>
            <w:tcW w:w="97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181,6</w:t>
            </w:r>
          </w:p>
        </w:tc>
        <w:tc>
          <w:tcPr>
            <w:tcW w:w="104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67,3</w:t>
            </w:r>
          </w:p>
        </w:tc>
        <w:tc>
          <w:tcPr>
            <w:tcW w:w="106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79,6</w:t>
            </w:r>
          </w:p>
        </w:tc>
        <w:tc>
          <w:tcPr>
            <w:tcW w:w="1064"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113,8</w:t>
            </w:r>
          </w:p>
        </w:tc>
        <w:tc>
          <w:tcPr>
            <w:tcW w:w="104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99,5</w:t>
            </w:r>
          </w:p>
        </w:tc>
        <w:tc>
          <w:tcPr>
            <w:tcW w:w="111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0</w:t>
            </w:r>
          </w:p>
        </w:tc>
      </w:tr>
      <w:tr>
        <w:trPr/>
        <w:tc>
          <w:tcPr>
            <w:tcW w:w="65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6</w:t>
            </w:r>
          </w:p>
        </w:tc>
        <w:tc>
          <w:tcPr>
            <w:tcW w:w="2397"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Лесозаводский</w:t>
            </w:r>
          </w:p>
        </w:tc>
        <w:tc>
          <w:tcPr>
            <w:tcW w:w="97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163</w:t>
            </w:r>
          </w:p>
        </w:tc>
        <w:tc>
          <w:tcPr>
            <w:tcW w:w="104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43,3</w:t>
            </w:r>
          </w:p>
        </w:tc>
        <w:tc>
          <w:tcPr>
            <w:tcW w:w="106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93,8</w:t>
            </w:r>
          </w:p>
        </w:tc>
        <w:tc>
          <w:tcPr>
            <w:tcW w:w="1064"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94,2</w:t>
            </w:r>
          </w:p>
        </w:tc>
        <w:tc>
          <w:tcPr>
            <w:tcW w:w="104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86,9</w:t>
            </w:r>
          </w:p>
        </w:tc>
        <w:tc>
          <w:tcPr>
            <w:tcW w:w="111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25</w:t>
            </w:r>
          </w:p>
        </w:tc>
      </w:tr>
      <w:tr>
        <w:trPr/>
        <w:tc>
          <w:tcPr>
            <w:tcW w:w="65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7</w:t>
            </w:r>
          </w:p>
        </w:tc>
        <w:tc>
          <w:tcPr>
            <w:tcW w:w="2397"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Находкинский</w:t>
            </w:r>
          </w:p>
        </w:tc>
        <w:tc>
          <w:tcPr>
            <w:tcW w:w="97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189,1</w:t>
            </w:r>
          </w:p>
        </w:tc>
        <w:tc>
          <w:tcPr>
            <w:tcW w:w="104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57,8</w:t>
            </w:r>
          </w:p>
        </w:tc>
        <w:tc>
          <w:tcPr>
            <w:tcW w:w="106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181,7</w:t>
            </w:r>
          </w:p>
        </w:tc>
        <w:tc>
          <w:tcPr>
            <w:tcW w:w="1064"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54,8</w:t>
            </w:r>
          </w:p>
        </w:tc>
        <w:tc>
          <w:tcPr>
            <w:tcW w:w="104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90,8</w:t>
            </w:r>
          </w:p>
        </w:tc>
        <w:tc>
          <w:tcPr>
            <w:tcW w:w="111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33,3</w:t>
            </w:r>
          </w:p>
        </w:tc>
      </w:tr>
      <w:tr>
        <w:trPr/>
        <w:tc>
          <w:tcPr>
            <w:tcW w:w="65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8</w:t>
            </w:r>
          </w:p>
        </w:tc>
        <w:tc>
          <w:tcPr>
            <w:tcW w:w="2397"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Спасский</w:t>
            </w:r>
          </w:p>
        </w:tc>
        <w:tc>
          <w:tcPr>
            <w:tcW w:w="97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110,7</w:t>
            </w:r>
          </w:p>
        </w:tc>
        <w:tc>
          <w:tcPr>
            <w:tcW w:w="104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16,5</w:t>
            </w:r>
          </w:p>
        </w:tc>
        <w:tc>
          <w:tcPr>
            <w:tcW w:w="106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10</w:t>
            </w:r>
          </w:p>
        </w:tc>
        <w:tc>
          <w:tcPr>
            <w:tcW w:w="1064"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68,1</w:t>
            </w:r>
          </w:p>
        </w:tc>
        <w:tc>
          <w:tcPr>
            <w:tcW w:w="104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83,3</w:t>
            </w:r>
          </w:p>
        </w:tc>
        <w:tc>
          <w:tcPr>
            <w:tcW w:w="111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0</w:t>
            </w:r>
          </w:p>
        </w:tc>
      </w:tr>
      <w:tr>
        <w:trPr/>
        <w:tc>
          <w:tcPr>
            <w:tcW w:w="65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9</w:t>
            </w:r>
          </w:p>
        </w:tc>
        <w:tc>
          <w:tcPr>
            <w:tcW w:w="2397"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Уссурийский</w:t>
            </w:r>
          </w:p>
        </w:tc>
        <w:tc>
          <w:tcPr>
            <w:tcW w:w="97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118,3</w:t>
            </w:r>
          </w:p>
        </w:tc>
        <w:tc>
          <w:tcPr>
            <w:tcW w:w="104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36</w:t>
            </w:r>
          </w:p>
        </w:tc>
        <w:tc>
          <w:tcPr>
            <w:tcW w:w="106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103</w:t>
            </w:r>
          </w:p>
        </w:tc>
        <w:tc>
          <w:tcPr>
            <w:tcW w:w="1064"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85,3</w:t>
            </w:r>
          </w:p>
        </w:tc>
        <w:tc>
          <w:tcPr>
            <w:tcW w:w="104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84,9</w:t>
            </w:r>
          </w:p>
        </w:tc>
        <w:tc>
          <w:tcPr>
            <w:tcW w:w="111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33,3</w:t>
            </w:r>
          </w:p>
        </w:tc>
      </w:tr>
      <w:tr>
        <w:trPr/>
        <w:tc>
          <w:tcPr>
            <w:tcW w:w="655" w:type="dxa"/>
            <w:tcBorders/>
          </w:tcPr>
          <w:p>
            <w:pPr>
              <w:pStyle w:val="Normal"/>
              <w:widowControl/>
              <w:spacing w:lineRule="auto" w:line="240" w:before="0" w:after="0"/>
              <w:contextualSpacing/>
              <w:jc w:val="center"/>
              <w:rPr>
                <w:b/>
                <w:b/>
                <w:sz w:val="24"/>
                <w:szCs w:val="24"/>
                <w:lang w:eastAsia="en-US"/>
              </w:rPr>
            </w:pPr>
            <w:r>
              <w:rPr>
                <w:rFonts w:eastAsia="Times New Roman" w:cs="Times New Roman" w:ascii="Times New Roman" w:hAnsi="Times New Roman"/>
                <w:b/>
                <w:kern w:val="0"/>
                <w:sz w:val="20"/>
                <w:szCs w:val="20"/>
                <w:lang w:val="ru-RU" w:eastAsia="ru-RU" w:bidi="ar-SA"/>
              </w:rPr>
            </w:r>
          </w:p>
        </w:tc>
        <w:tc>
          <w:tcPr>
            <w:tcW w:w="2397" w:type="dxa"/>
            <w:tcBorders/>
          </w:tcPr>
          <w:p>
            <w:pPr>
              <w:pStyle w:val="Normal"/>
              <w:widowControl/>
              <w:spacing w:lineRule="auto" w:line="240" w:before="0" w:after="0"/>
              <w:contextualSpacing/>
              <w:jc w:val="center"/>
              <w:rPr>
                <w:b/>
                <w:b/>
                <w:sz w:val="24"/>
                <w:szCs w:val="24"/>
                <w:lang w:eastAsia="en-US"/>
              </w:rPr>
            </w:pPr>
            <w:r>
              <w:rPr>
                <w:rFonts w:eastAsia="Times New Roman" w:cs="Times New Roman" w:ascii="Times New Roman" w:hAnsi="Times New Roman"/>
                <w:b/>
                <w:kern w:val="0"/>
                <w:sz w:val="24"/>
                <w:szCs w:val="24"/>
                <w:lang w:val="ru-RU" w:eastAsia="en-US" w:bidi="ar-SA"/>
              </w:rPr>
              <w:t>средний по краю</w:t>
            </w:r>
          </w:p>
        </w:tc>
        <w:tc>
          <w:tcPr>
            <w:tcW w:w="975" w:type="dxa"/>
            <w:tcBorders/>
          </w:tcPr>
          <w:p>
            <w:pPr>
              <w:pStyle w:val="Normal"/>
              <w:widowControl/>
              <w:spacing w:lineRule="auto" w:line="240" w:before="0" w:after="0"/>
              <w:contextualSpacing/>
              <w:jc w:val="center"/>
              <w:rPr>
                <w:b/>
                <w:b/>
                <w:sz w:val="24"/>
                <w:szCs w:val="24"/>
                <w:lang w:eastAsia="en-US"/>
              </w:rPr>
            </w:pPr>
            <w:r>
              <w:rPr>
                <w:rFonts w:eastAsia="Times New Roman" w:cs="Times New Roman" w:ascii="Times New Roman" w:hAnsi="Times New Roman"/>
                <w:b/>
                <w:kern w:val="0"/>
                <w:sz w:val="24"/>
                <w:szCs w:val="24"/>
                <w:lang w:val="ru-RU" w:eastAsia="en-US" w:bidi="ar-SA"/>
              </w:rPr>
              <w:t>125,9</w:t>
            </w:r>
          </w:p>
        </w:tc>
        <w:tc>
          <w:tcPr>
            <w:tcW w:w="1043" w:type="dxa"/>
            <w:tcBorders/>
          </w:tcPr>
          <w:p>
            <w:pPr>
              <w:pStyle w:val="Normal"/>
              <w:widowControl/>
              <w:spacing w:lineRule="auto" w:line="240" w:before="0" w:after="0"/>
              <w:contextualSpacing/>
              <w:jc w:val="center"/>
              <w:rPr>
                <w:b/>
                <w:b/>
                <w:sz w:val="24"/>
                <w:szCs w:val="24"/>
                <w:lang w:eastAsia="en-US"/>
              </w:rPr>
            </w:pPr>
            <w:r>
              <w:rPr>
                <w:rFonts w:eastAsia="Times New Roman" w:cs="Times New Roman" w:ascii="Times New Roman" w:hAnsi="Times New Roman"/>
                <w:b/>
                <w:kern w:val="0"/>
                <w:sz w:val="24"/>
                <w:szCs w:val="24"/>
                <w:lang w:val="ru-RU" w:eastAsia="en-US" w:bidi="ar-SA"/>
              </w:rPr>
              <w:t>56,9</w:t>
            </w:r>
          </w:p>
        </w:tc>
        <w:tc>
          <w:tcPr>
            <w:tcW w:w="1063" w:type="dxa"/>
            <w:tcBorders/>
          </w:tcPr>
          <w:p>
            <w:pPr>
              <w:pStyle w:val="Normal"/>
              <w:widowControl/>
              <w:spacing w:lineRule="auto" w:line="240" w:before="0" w:after="0"/>
              <w:contextualSpacing/>
              <w:jc w:val="center"/>
              <w:rPr>
                <w:b/>
                <w:b/>
                <w:sz w:val="24"/>
                <w:szCs w:val="24"/>
                <w:lang w:eastAsia="en-US"/>
              </w:rPr>
            </w:pPr>
            <w:r>
              <w:rPr>
                <w:rFonts w:eastAsia="Times New Roman" w:cs="Times New Roman" w:ascii="Times New Roman" w:hAnsi="Times New Roman"/>
                <w:b/>
                <w:kern w:val="0"/>
                <w:sz w:val="24"/>
                <w:szCs w:val="24"/>
                <w:lang w:val="ru-RU" w:eastAsia="en-US" w:bidi="ar-SA"/>
              </w:rPr>
              <w:t>108,3</w:t>
            </w:r>
          </w:p>
        </w:tc>
        <w:tc>
          <w:tcPr>
            <w:tcW w:w="1064" w:type="dxa"/>
            <w:tcBorders/>
          </w:tcPr>
          <w:p>
            <w:pPr>
              <w:pStyle w:val="Normal"/>
              <w:widowControl/>
              <w:spacing w:lineRule="auto" w:line="240" w:before="0" w:after="0"/>
              <w:contextualSpacing/>
              <w:jc w:val="center"/>
              <w:rPr>
                <w:b/>
                <w:b/>
                <w:sz w:val="24"/>
                <w:szCs w:val="24"/>
                <w:lang w:eastAsia="en-US"/>
              </w:rPr>
            </w:pPr>
            <w:r>
              <w:rPr>
                <w:rFonts w:eastAsia="Times New Roman" w:cs="Times New Roman" w:ascii="Times New Roman" w:hAnsi="Times New Roman"/>
                <w:b/>
                <w:kern w:val="0"/>
                <w:sz w:val="24"/>
                <w:szCs w:val="24"/>
                <w:lang w:val="ru-RU" w:eastAsia="en-US" w:bidi="ar-SA"/>
              </w:rPr>
              <w:t>76,5</w:t>
            </w:r>
          </w:p>
        </w:tc>
        <w:tc>
          <w:tcPr>
            <w:tcW w:w="1048" w:type="dxa"/>
            <w:tcBorders/>
          </w:tcPr>
          <w:p>
            <w:pPr>
              <w:pStyle w:val="Normal"/>
              <w:widowControl/>
              <w:spacing w:lineRule="auto" w:line="240" w:before="0" w:after="0"/>
              <w:contextualSpacing/>
              <w:jc w:val="center"/>
              <w:rPr>
                <w:b/>
                <w:b/>
                <w:sz w:val="24"/>
                <w:szCs w:val="24"/>
                <w:lang w:eastAsia="en-US"/>
              </w:rPr>
            </w:pPr>
            <w:r>
              <w:rPr>
                <w:rFonts w:eastAsia="Times New Roman" w:cs="Times New Roman" w:ascii="Times New Roman" w:hAnsi="Times New Roman"/>
                <w:b/>
                <w:kern w:val="0"/>
                <w:sz w:val="24"/>
                <w:szCs w:val="24"/>
                <w:lang w:val="ru-RU" w:eastAsia="en-US" w:bidi="ar-SA"/>
              </w:rPr>
              <w:t>84,9</w:t>
            </w:r>
          </w:p>
        </w:tc>
        <w:tc>
          <w:tcPr>
            <w:tcW w:w="1118" w:type="dxa"/>
            <w:tcBorders/>
          </w:tcPr>
          <w:p>
            <w:pPr>
              <w:pStyle w:val="Normal"/>
              <w:widowControl/>
              <w:spacing w:lineRule="auto" w:line="240" w:before="0" w:after="0"/>
              <w:contextualSpacing/>
              <w:jc w:val="center"/>
              <w:rPr>
                <w:b/>
                <w:b/>
                <w:sz w:val="24"/>
                <w:szCs w:val="24"/>
                <w:lang w:eastAsia="en-US"/>
              </w:rPr>
            </w:pPr>
            <w:r>
              <w:rPr>
                <w:rFonts w:eastAsia="Times New Roman" w:cs="Times New Roman" w:ascii="Times New Roman" w:hAnsi="Times New Roman"/>
                <w:b/>
                <w:kern w:val="0"/>
                <w:sz w:val="24"/>
                <w:szCs w:val="24"/>
                <w:lang w:val="ru-RU" w:eastAsia="en-US" w:bidi="ar-SA"/>
              </w:rPr>
              <w:t>26,4</w:t>
            </w:r>
          </w:p>
        </w:tc>
      </w:tr>
      <w:tr>
        <w:trPr/>
        <w:tc>
          <w:tcPr>
            <w:tcW w:w="655" w:type="dxa"/>
            <w:tcBorders/>
          </w:tcPr>
          <w:p>
            <w:pPr>
              <w:pStyle w:val="Normal"/>
              <w:widowControl/>
              <w:spacing w:lineRule="auto" w:line="240" w:before="0" w:after="0"/>
              <w:contextualSpacing/>
              <w:jc w:val="center"/>
              <w:rPr>
                <w:b/>
                <w:b/>
                <w:sz w:val="24"/>
                <w:szCs w:val="24"/>
                <w:lang w:eastAsia="en-US"/>
              </w:rPr>
            </w:pPr>
            <w:r>
              <w:rPr>
                <w:rFonts w:eastAsia="Times New Roman" w:cs="Times New Roman" w:ascii="Times New Roman" w:hAnsi="Times New Roman"/>
                <w:b/>
                <w:kern w:val="0"/>
                <w:sz w:val="20"/>
                <w:szCs w:val="20"/>
                <w:lang w:val="ru-RU" w:eastAsia="ru-RU" w:bidi="ar-SA"/>
              </w:rPr>
            </w:r>
          </w:p>
        </w:tc>
        <w:tc>
          <w:tcPr>
            <w:tcW w:w="2397"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b/>
                <w:kern w:val="0"/>
                <w:sz w:val="24"/>
                <w:szCs w:val="24"/>
                <w:lang w:val="ru-RU" w:eastAsia="en-US" w:bidi="ar-SA"/>
              </w:rPr>
              <w:t>прогнозный</w:t>
            </w:r>
            <w:r>
              <w:rPr>
                <w:rFonts w:eastAsia="Times New Roman" w:cs="Times New Roman" w:ascii="Times New Roman" w:hAnsi="Times New Roman"/>
                <w:kern w:val="0"/>
                <w:sz w:val="24"/>
                <w:szCs w:val="24"/>
                <w:lang w:val="ru-RU" w:eastAsia="en-US" w:bidi="ar-SA"/>
              </w:rPr>
              <w:t xml:space="preserve"> или необходимый для максимальной оценки</w:t>
            </w:r>
          </w:p>
        </w:tc>
        <w:tc>
          <w:tcPr>
            <w:tcW w:w="97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100</w:t>
            </w:r>
          </w:p>
        </w:tc>
        <w:tc>
          <w:tcPr>
            <w:tcW w:w="104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b/>
                <w:b/>
                <w:sz w:val="24"/>
                <w:szCs w:val="24"/>
                <w:lang w:eastAsia="en-US"/>
              </w:rPr>
            </w:pPr>
            <w:r>
              <w:rPr>
                <w:rFonts w:eastAsia="Times New Roman" w:cs="Times New Roman" w:ascii="Times New Roman" w:hAnsi="Times New Roman"/>
                <w:b/>
                <w:kern w:val="0"/>
                <w:sz w:val="24"/>
                <w:szCs w:val="24"/>
                <w:lang w:val="ru-RU" w:eastAsia="en-US" w:bidi="ar-SA"/>
              </w:rPr>
              <w:t>55</w:t>
            </w:r>
          </w:p>
        </w:tc>
        <w:tc>
          <w:tcPr>
            <w:tcW w:w="106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b/>
                <w:b/>
                <w:sz w:val="24"/>
                <w:szCs w:val="24"/>
                <w:lang w:eastAsia="en-US"/>
              </w:rPr>
            </w:pPr>
            <w:r>
              <w:rPr>
                <w:rFonts w:eastAsia="Times New Roman" w:cs="Times New Roman" w:ascii="Times New Roman" w:hAnsi="Times New Roman"/>
                <w:b/>
                <w:kern w:val="0"/>
                <w:sz w:val="24"/>
                <w:szCs w:val="24"/>
                <w:lang w:val="ru-RU" w:eastAsia="en-US" w:bidi="ar-SA"/>
              </w:rPr>
              <w:t>75</w:t>
            </w:r>
          </w:p>
        </w:tc>
        <w:tc>
          <w:tcPr>
            <w:tcW w:w="1064"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85</w:t>
            </w:r>
          </w:p>
        </w:tc>
        <w:tc>
          <w:tcPr>
            <w:tcW w:w="104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85</w:t>
            </w:r>
          </w:p>
        </w:tc>
        <w:tc>
          <w:tcPr>
            <w:tcW w:w="111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0</w:t>
            </w:r>
          </w:p>
        </w:tc>
      </w:tr>
      <w:tr>
        <w:trPr/>
        <w:tc>
          <w:tcPr>
            <w:tcW w:w="65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tc>
        <w:tc>
          <w:tcPr>
            <w:tcW w:w="2397"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для сравнения – средний по итогам за  2015 год</w:t>
            </w:r>
          </w:p>
        </w:tc>
        <w:tc>
          <w:tcPr>
            <w:tcW w:w="97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81,4</w:t>
            </w:r>
          </w:p>
        </w:tc>
        <w:tc>
          <w:tcPr>
            <w:tcW w:w="104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х</w:t>
            </w:r>
          </w:p>
        </w:tc>
        <w:tc>
          <w:tcPr>
            <w:tcW w:w="106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х</w:t>
            </w:r>
          </w:p>
        </w:tc>
        <w:tc>
          <w:tcPr>
            <w:tcW w:w="1064"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57,6</w:t>
            </w:r>
          </w:p>
        </w:tc>
        <w:tc>
          <w:tcPr>
            <w:tcW w:w="104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88,3</w:t>
            </w:r>
          </w:p>
        </w:tc>
        <w:tc>
          <w:tcPr>
            <w:tcW w:w="111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х</w:t>
            </w:r>
          </w:p>
        </w:tc>
      </w:tr>
      <w:tr>
        <w:trPr/>
        <w:tc>
          <w:tcPr>
            <w:tcW w:w="65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tc>
        <w:tc>
          <w:tcPr>
            <w:tcW w:w="2397"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динамика по сравнению с 2015 годом, +/-</w:t>
            </w:r>
          </w:p>
        </w:tc>
        <w:tc>
          <w:tcPr>
            <w:tcW w:w="975"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+44,5</w:t>
            </w:r>
          </w:p>
        </w:tc>
        <w:tc>
          <w:tcPr>
            <w:tcW w:w="104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х</w:t>
            </w:r>
          </w:p>
        </w:tc>
        <w:tc>
          <w:tcPr>
            <w:tcW w:w="1063"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х</w:t>
            </w:r>
          </w:p>
        </w:tc>
        <w:tc>
          <w:tcPr>
            <w:tcW w:w="1064"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+18,9</w:t>
            </w:r>
          </w:p>
        </w:tc>
        <w:tc>
          <w:tcPr>
            <w:tcW w:w="104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-3,4</w:t>
            </w:r>
          </w:p>
        </w:tc>
        <w:tc>
          <w:tcPr>
            <w:tcW w:w="1118" w:type="dxa"/>
            <w:tcBorders/>
          </w:tcPr>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0"/>
                <w:szCs w:val="20"/>
                <w:lang w:val="ru-RU" w:eastAsia="ru-RU" w:bidi="ar-SA"/>
              </w:rPr>
            </w:r>
          </w:p>
          <w:p>
            <w:pPr>
              <w:pStyle w:val="Normal"/>
              <w:widowControl/>
              <w:spacing w:lineRule="auto" w:line="240" w:before="0" w:after="0"/>
              <w:contextualSpacing/>
              <w:jc w:val="center"/>
              <w:rPr>
                <w:sz w:val="24"/>
                <w:szCs w:val="24"/>
                <w:lang w:eastAsia="en-US"/>
              </w:rPr>
            </w:pPr>
            <w:r>
              <w:rPr>
                <w:rFonts w:eastAsia="Times New Roman" w:cs="Times New Roman" w:ascii="Times New Roman" w:hAnsi="Times New Roman"/>
                <w:kern w:val="0"/>
                <w:sz w:val="24"/>
                <w:szCs w:val="24"/>
                <w:lang w:val="ru-RU" w:eastAsia="en-US" w:bidi="ar-SA"/>
              </w:rPr>
              <w:t>х</w:t>
            </w:r>
          </w:p>
        </w:tc>
      </w:tr>
    </w:tbl>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целом показатели эффективности деятельности Управления по таким показателям как «нагрузка на одного инспектора» и «полнота взыскания административных штрафов» существенно возросли.</w:t>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Незначительное снижение показателя «выполняемость планов» к уровню 2015 года обусловлено объективными причинами. </w:t>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Эффективность проведенных проверок (соотношение числа выявленных нарушений к общему количеству проведенных проверок) в целом по краю составила 56.9%, что превышает показатели  2015 года -52%.</w:t>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Наиболее распространенным среди выявляемых нарушений, как и прежде, являются:</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в части правонарушений в сфере земельного законодательства -  самовольное занятие земельного участка или части земельного участка, в т.ч. использование земельного участка лицом, не имеющим предусмотренных законодательством Российской Федерации прав на указанный земельный участок, административная ответственность за которые предусмотрена ст. 7.1. КоАП РФ (доля правонарушений составила 70,95% (в 2015 году – 75,1%) от общего количества правонарушений в сфере земельного законодательства), </w:t>
      </w:r>
    </w:p>
    <w:p>
      <w:pPr>
        <w:pStyle w:val="Normal"/>
        <w:spacing w:lineRule="auto" w:line="240" w:before="0" w:after="0"/>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в части правонарушений против порядка управления – невыполнение в установленный срок предписаний федеральных органов, осуществляющих государственный земельный надзор, об устранении нарушений земельного законодательства, ответственность за которое предусмотрена ч. 25 и 26 ст. 19.5. КоАП РФ (доля правонарушений составила 57.2% (в 2015 году – 56,1%) от общего количества правонарушений против порядка управления). </w:t>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Количество выявленных контролирующими органами нарушений земельного законодательства и привлеченных к административной ответственности представлены в таблице 17.</w:t>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ind w:right="-1" w:hanging="0"/>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Таблица 17</w:t>
      </w:r>
    </w:p>
    <w:tbl>
      <w:tblPr>
        <w:tblW w:w="9828"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1313"/>
        <w:gridCol w:w="684"/>
        <w:gridCol w:w="1197"/>
        <w:gridCol w:w="678"/>
        <w:gridCol w:w="1026"/>
        <w:gridCol w:w="1558"/>
        <w:gridCol w:w="969"/>
        <w:gridCol w:w="901"/>
        <w:gridCol w:w="11"/>
        <w:gridCol w:w="1490"/>
      </w:tblGrid>
      <w:tr>
        <w:trPr/>
        <w:tc>
          <w:tcPr>
            <w:tcW w:w="131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Вид нарушения</w:t>
            </w:r>
          </w:p>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(статья</w:t>
            </w:r>
          </w:p>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КоАП РФ)</w:t>
            </w:r>
          </w:p>
        </w:tc>
        <w:tc>
          <w:tcPr>
            <w:tcW w:w="7013"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Выявлено нарушений земельного законодательства</w:t>
            </w:r>
          </w:p>
        </w:tc>
        <w:tc>
          <w:tcPr>
            <w:tcW w:w="1501"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r>
      <w:tr>
        <w:trPr/>
        <w:tc>
          <w:tcPr>
            <w:tcW w:w="131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8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Всего</w:t>
            </w:r>
          </w:p>
        </w:tc>
        <w:tc>
          <w:tcPr>
            <w:tcW w:w="6329"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В том числе</w:t>
            </w:r>
          </w:p>
        </w:tc>
        <w:tc>
          <w:tcPr>
            <w:tcW w:w="1501"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r>
      <w:tr>
        <w:trPr/>
        <w:tc>
          <w:tcPr>
            <w:tcW w:w="131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68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19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08"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госзем-инспекторами</w:t>
            </w:r>
          </w:p>
        </w:tc>
        <w:tc>
          <w:tcPr>
            <w:tcW w:w="6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ОВД</w:t>
            </w:r>
          </w:p>
        </w:tc>
        <w:tc>
          <w:tcPr>
            <w:tcW w:w="10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прокуратурой</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органами, осу-ществляющими муниципальный земельный  контроль</w:t>
            </w:r>
          </w:p>
        </w:tc>
        <w:tc>
          <w:tcPr>
            <w:tcW w:w="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другими органами</w:t>
            </w:r>
          </w:p>
        </w:tc>
        <w:tc>
          <w:tcPr>
            <w:tcW w:w="9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площадь всего          (га)</w:t>
            </w:r>
          </w:p>
        </w:tc>
        <w:tc>
          <w:tcPr>
            <w:tcW w:w="14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Привлечено</w:t>
            </w:r>
          </w:p>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к администра-тивной ответствен-ности</w:t>
            </w:r>
          </w:p>
        </w:tc>
      </w:tr>
      <w:tr>
        <w:trPr/>
        <w:tc>
          <w:tcPr>
            <w:tcW w:w="13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ст.7.1</w:t>
            </w:r>
          </w:p>
        </w:tc>
        <w:tc>
          <w:tcPr>
            <w:tcW w:w="6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894</w:t>
            </w:r>
          </w:p>
        </w:tc>
        <w:tc>
          <w:tcPr>
            <w:tcW w:w="11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494</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92</w:t>
            </w:r>
          </w:p>
        </w:tc>
        <w:tc>
          <w:tcPr>
            <w:tcW w:w="10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76</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232</w:t>
            </w:r>
          </w:p>
        </w:tc>
        <w:tc>
          <w:tcPr>
            <w:tcW w:w="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c>
          <w:tcPr>
            <w:tcW w:w="91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7077</w:t>
            </w:r>
          </w:p>
        </w:tc>
        <w:tc>
          <w:tcPr>
            <w:tcW w:w="14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662</w:t>
            </w:r>
          </w:p>
        </w:tc>
      </w:tr>
      <w:tr>
        <w:trPr/>
        <w:tc>
          <w:tcPr>
            <w:tcW w:w="13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ст.8.8</w:t>
            </w:r>
          </w:p>
        </w:tc>
        <w:tc>
          <w:tcPr>
            <w:tcW w:w="6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208</w:t>
            </w:r>
          </w:p>
        </w:tc>
        <w:tc>
          <w:tcPr>
            <w:tcW w:w="11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c>
          <w:tcPr>
            <w:tcW w:w="10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40</w:t>
            </w:r>
          </w:p>
        </w:tc>
        <w:tc>
          <w:tcPr>
            <w:tcW w:w="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c>
          <w:tcPr>
            <w:tcW w:w="91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157.4</w:t>
            </w:r>
          </w:p>
        </w:tc>
        <w:tc>
          <w:tcPr>
            <w:tcW w:w="14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92</w:t>
            </w:r>
          </w:p>
        </w:tc>
      </w:tr>
      <w:tr>
        <w:trPr/>
        <w:tc>
          <w:tcPr>
            <w:tcW w:w="13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ст.7.34</w:t>
            </w:r>
          </w:p>
        </w:tc>
        <w:tc>
          <w:tcPr>
            <w:tcW w:w="6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w:t>
            </w:r>
          </w:p>
        </w:tc>
        <w:tc>
          <w:tcPr>
            <w:tcW w:w="11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c>
          <w:tcPr>
            <w:tcW w:w="10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w:t>
            </w:r>
          </w:p>
        </w:tc>
        <w:tc>
          <w:tcPr>
            <w:tcW w:w="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c>
          <w:tcPr>
            <w:tcW w:w="91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w:t>
            </w:r>
          </w:p>
        </w:tc>
        <w:tc>
          <w:tcPr>
            <w:tcW w:w="14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w:t>
            </w:r>
          </w:p>
        </w:tc>
      </w:tr>
      <w:tr>
        <w:trPr/>
        <w:tc>
          <w:tcPr>
            <w:tcW w:w="13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6"/>
                <w:szCs w:val="16"/>
              </w:rPr>
              <w:t>Иные нарушения земельного законодательства (ст.26, 42 ЗК РФ)</w:t>
            </w:r>
          </w:p>
        </w:tc>
        <w:tc>
          <w:tcPr>
            <w:tcW w:w="6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153</w:t>
            </w:r>
          </w:p>
        </w:tc>
        <w:tc>
          <w:tcPr>
            <w:tcW w:w="11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153</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c>
          <w:tcPr>
            <w:tcW w:w="10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c>
          <w:tcPr>
            <w:tcW w:w="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c>
          <w:tcPr>
            <w:tcW w:w="91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22.9</w:t>
            </w:r>
          </w:p>
        </w:tc>
        <w:tc>
          <w:tcPr>
            <w:tcW w:w="14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r>
      <w:tr>
        <w:trPr/>
        <w:tc>
          <w:tcPr>
            <w:tcW w:w="13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Итого</w:t>
            </w:r>
          </w:p>
        </w:tc>
        <w:tc>
          <w:tcPr>
            <w:tcW w:w="6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1260</w:t>
            </w:r>
          </w:p>
        </w:tc>
        <w:tc>
          <w:tcPr>
            <w:tcW w:w="11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801</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92</w:t>
            </w:r>
          </w:p>
        </w:tc>
        <w:tc>
          <w:tcPr>
            <w:tcW w:w="10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94</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273</w:t>
            </w:r>
          </w:p>
        </w:tc>
        <w:tc>
          <w:tcPr>
            <w:tcW w:w="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c>
          <w:tcPr>
            <w:tcW w:w="91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7259.2</w:t>
            </w:r>
          </w:p>
        </w:tc>
        <w:tc>
          <w:tcPr>
            <w:tcW w:w="14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757</w:t>
            </w:r>
          </w:p>
        </w:tc>
      </w:tr>
    </w:tbl>
    <w:p>
      <w:pPr>
        <w:pStyle w:val="Normal"/>
        <w:spacing w:lineRule="auto" w:line="240" w:before="0" w:after="0"/>
        <w:ind w:right="-1"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ind w:right="-1"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ind w:right="-1"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Структура выявленных нарушений земельного законодательства.</w:t>
      </w:r>
    </w:p>
    <w:p>
      <w:pPr>
        <w:pStyle w:val="Normal"/>
        <w:spacing w:lineRule="auto" w:line="240" w:before="0" w:after="0"/>
        <w:ind w:right="-1" w:hanging="0"/>
        <w:jc w:val="both"/>
        <w:rPr>
          <w:rFonts w:ascii="Times New Roman" w:hAnsi="Times New Roman" w:eastAsia="Times New Roman" w:cs="Times New Roman"/>
          <w:sz w:val="28"/>
          <w:szCs w:val="28"/>
        </w:rPr>
      </w:pPr>
      <w:r>
        <w:rPr>
          <w:rFonts w:eastAsia="Times New Roman" w:cs="Times New Roman" w:ascii="Times New Roman" w:hAnsi="Times New Roman"/>
          <w:sz w:val="20"/>
          <w:szCs w:val="20"/>
        </w:rPr>
        <w:t xml:space="preserve">                                                                                                                                                      </w:t>
      </w:r>
      <w:r>
        <w:rPr/>
        <w:drawing>
          <wp:inline distT="0" distB="0" distL="0" distR="0">
            <wp:extent cx="5189220" cy="2552700"/>
            <wp:effectExtent l="0" t="0" r="0" b="0"/>
            <wp:docPr id="33" name="Объект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pStyle w:val="Normal"/>
        <w:spacing w:lineRule="auto" w:line="240" w:before="0" w:after="0"/>
        <w:ind w:right="-1" w:hanging="0"/>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Рис. 20    </w:t>
      </w:r>
    </w:p>
    <w:p>
      <w:pPr>
        <w:pStyle w:val="Normal"/>
        <w:spacing w:lineRule="auto" w:line="240" w:before="0" w:after="0"/>
        <w:ind w:right="-1"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ind w:right="-1"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Количество выявленных административных правонарушений против порядка управления  и привлеченных к административной ответственности представлены в таблице 18.</w:t>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ind w:right="-1" w:hanging="0"/>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Таблица 18</w:t>
      </w:r>
    </w:p>
    <w:tbl>
      <w:tblPr>
        <w:tblW w:w="9828"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1432"/>
        <w:gridCol w:w="3536"/>
        <w:gridCol w:w="4860"/>
      </w:tblGrid>
      <w:tr>
        <w:trPr/>
        <w:tc>
          <w:tcPr>
            <w:tcW w:w="14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Вид нарушения</w:t>
            </w:r>
          </w:p>
          <w:p>
            <w:pPr>
              <w:pStyle w:val="Normal"/>
              <w:widowControl w:val="false"/>
              <w:spacing w:lineRule="auto" w:line="240" w:before="0" w:after="0"/>
              <w:ind w:right="-1" w:hanging="0"/>
              <w:jc w:val="both"/>
              <w:rPr>
                <w:rFonts w:ascii="Times New Roman" w:hAnsi="Times New Roman" w:eastAsia="Times New Roman" w:cs="Times New Roman"/>
                <w:sz w:val="18"/>
                <w:szCs w:val="18"/>
              </w:rPr>
            </w:pPr>
            <w:r>
              <w:rPr>
                <w:rFonts w:eastAsia="Times New Roman" w:cs="Times New Roman" w:ascii="Times New Roman" w:hAnsi="Times New Roman"/>
                <w:sz w:val="18"/>
                <w:szCs w:val="18"/>
              </w:rPr>
              <w:t>(статья</w:t>
            </w:r>
          </w:p>
          <w:p>
            <w:pPr>
              <w:pStyle w:val="Normal"/>
              <w:widowControl w:val="false"/>
              <w:spacing w:lineRule="auto" w:line="240" w:before="0" w:after="0"/>
              <w:ind w:right="-1" w:hanging="0"/>
              <w:jc w:val="both"/>
              <w:rPr>
                <w:rFonts w:ascii="Times New Roman" w:hAnsi="Times New Roman" w:eastAsia="Times New Roman" w:cs="Times New Roman"/>
                <w:sz w:val="28"/>
                <w:szCs w:val="28"/>
              </w:rPr>
            </w:pPr>
            <w:r>
              <w:rPr>
                <w:rFonts w:eastAsia="Times New Roman" w:cs="Times New Roman" w:ascii="Times New Roman" w:hAnsi="Times New Roman"/>
                <w:sz w:val="18"/>
                <w:szCs w:val="18"/>
              </w:rPr>
              <w:t>КоАП РФ)</w:t>
            </w:r>
          </w:p>
        </w:tc>
        <w:tc>
          <w:tcPr>
            <w:tcW w:w="35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500" w:leader="none"/>
              </w:tabs>
              <w:spacing w:lineRule="auto" w:line="240" w:before="0" w:after="0"/>
              <w:ind w:right="-1" w:hanging="0"/>
              <w:jc w:val="center"/>
              <w:rPr>
                <w:rFonts w:ascii="Times New Roman" w:hAnsi="Times New Roman" w:eastAsia="Times New Roman" w:cs="Times New Roman"/>
                <w:sz w:val="28"/>
                <w:szCs w:val="28"/>
              </w:rPr>
            </w:pPr>
            <w:r>
              <w:rPr>
                <w:rFonts w:eastAsia="Times New Roman" w:cs="Times New Roman" w:ascii="Times New Roman" w:hAnsi="Times New Roman"/>
                <w:sz w:val="18"/>
                <w:szCs w:val="18"/>
              </w:rPr>
              <w:t>Выявлено нарушений</w:t>
            </w:r>
          </w:p>
        </w:tc>
        <w:tc>
          <w:tcPr>
            <w:tcW w:w="48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Привлечено</w:t>
            </w:r>
          </w:p>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к административной</w:t>
            </w:r>
          </w:p>
          <w:p>
            <w:pPr>
              <w:pStyle w:val="Normal"/>
              <w:widowControl w:val="false"/>
              <w:spacing w:lineRule="auto" w:line="240" w:before="0" w:after="0"/>
              <w:ind w:right="-1" w:hanging="0"/>
              <w:jc w:val="center"/>
              <w:rPr>
                <w:rFonts w:ascii="Times New Roman" w:hAnsi="Times New Roman" w:eastAsia="Times New Roman" w:cs="Times New Roman"/>
                <w:sz w:val="28"/>
                <w:szCs w:val="28"/>
              </w:rPr>
            </w:pPr>
            <w:r>
              <w:rPr>
                <w:rFonts w:eastAsia="Times New Roman" w:cs="Times New Roman" w:ascii="Times New Roman" w:hAnsi="Times New Roman"/>
                <w:sz w:val="18"/>
                <w:szCs w:val="18"/>
              </w:rPr>
              <w:t>ответственности</w:t>
            </w:r>
          </w:p>
        </w:tc>
      </w:tr>
      <w:tr>
        <w:trPr/>
        <w:tc>
          <w:tcPr>
            <w:tcW w:w="14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ст.19.4</w:t>
            </w:r>
          </w:p>
        </w:tc>
        <w:tc>
          <w:tcPr>
            <w:tcW w:w="35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c>
          <w:tcPr>
            <w:tcW w:w="48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r>
      <w:tr>
        <w:trPr/>
        <w:tc>
          <w:tcPr>
            <w:tcW w:w="14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ст.19.4.1.</w:t>
            </w:r>
          </w:p>
        </w:tc>
        <w:tc>
          <w:tcPr>
            <w:tcW w:w="35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85</w:t>
            </w:r>
          </w:p>
        </w:tc>
        <w:tc>
          <w:tcPr>
            <w:tcW w:w="48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120</w:t>
            </w:r>
          </w:p>
        </w:tc>
      </w:tr>
      <w:tr>
        <w:trPr/>
        <w:tc>
          <w:tcPr>
            <w:tcW w:w="14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ст.19.5</w:t>
            </w:r>
          </w:p>
        </w:tc>
        <w:tc>
          <w:tcPr>
            <w:tcW w:w="35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198</w:t>
            </w:r>
          </w:p>
        </w:tc>
        <w:tc>
          <w:tcPr>
            <w:tcW w:w="48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136</w:t>
            </w:r>
          </w:p>
        </w:tc>
      </w:tr>
      <w:tr>
        <w:trPr/>
        <w:tc>
          <w:tcPr>
            <w:tcW w:w="14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ст.19.6</w:t>
            </w:r>
          </w:p>
        </w:tc>
        <w:tc>
          <w:tcPr>
            <w:tcW w:w="35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c>
          <w:tcPr>
            <w:tcW w:w="48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r>
      <w:tr>
        <w:trPr/>
        <w:tc>
          <w:tcPr>
            <w:tcW w:w="14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ст.19.7</w:t>
            </w:r>
          </w:p>
        </w:tc>
        <w:tc>
          <w:tcPr>
            <w:tcW w:w="35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c>
          <w:tcPr>
            <w:tcW w:w="48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w:t>
            </w:r>
          </w:p>
        </w:tc>
      </w:tr>
      <w:tr>
        <w:trPr/>
        <w:tc>
          <w:tcPr>
            <w:tcW w:w="14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ч.1 ст.20.25</w:t>
            </w:r>
          </w:p>
        </w:tc>
        <w:tc>
          <w:tcPr>
            <w:tcW w:w="35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63</w:t>
            </w:r>
          </w:p>
        </w:tc>
        <w:tc>
          <w:tcPr>
            <w:tcW w:w="48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35</w:t>
            </w:r>
          </w:p>
        </w:tc>
      </w:tr>
      <w:tr>
        <w:trPr/>
        <w:tc>
          <w:tcPr>
            <w:tcW w:w="14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Итого</w:t>
            </w:r>
          </w:p>
        </w:tc>
        <w:tc>
          <w:tcPr>
            <w:tcW w:w="35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346</w:t>
            </w:r>
          </w:p>
        </w:tc>
        <w:tc>
          <w:tcPr>
            <w:tcW w:w="48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291</w:t>
            </w:r>
          </w:p>
        </w:tc>
      </w:tr>
    </w:tbl>
    <w:p>
      <w:pPr>
        <w:pStyle w:val="Normal"/>
        <w:spacing w:lineRule="auto" w:line="240" w:before="0" w:after="0"/>
        <w:ind w:right="-1" w:hanging="0"/>
        <w:jc w:val="both"/>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0" w:before="0" w:after="0"/>
        <w:ind w:right="-1"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Структура выявленных правонарушений против порядка управления</w:t>
      </w:r>
    </w:p>
    <w:p>
      <w:pPr>
        <w:pStyle w:val="Normal"/>
        <w:spacing w:lineRule="auto" w:line="240" w:before="0" w:after="0"/>
        <w:ind w:right="-1"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                                                                                                                                                      </w:t>
      </w:r>
      <w:r>
        <w:rPr>
          <w:rFonts w:eastAsia="Times New Roman" w:cs="Times New Roman" w:ascii="Times New Roman" w:hAnsi="Times New Roman"/>
          <w:sz w:val="20"/>
          <w:szCs w:val="20"/>
        </w:rPr>
        <w:t>Рис. 21</w:t>
      </w:r>
    </w:p>
    <w:p>
      <w:pPr>
        <w:pStyle w:val="Normal"/>
        <w:spacing w:lineRule="auto" w:line="240" w:before="0" w:after="0"/>
        <w:ind w:right="-1"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right="-1" w:hanging="0"/>
        <w:jc w:val="center"/>
        <w:rPr>
          <w:rFonts w:ascii="Times New Roman" w:hAnsi="Times New Roman" w:eastAsia="Times New Roman" w:cs="Times New Roman"/>
          <w:sz w:val="28"/>
          <w:szCs w:val="28"/>
        </w:rPr>
      </w:pPr>
      <w:r>
        <w:rPr/>
        <w:drawing>
          <wp:inline distT="0" distB="0" distL="0" distR="0">
            <wp:extent cx="4351020" cy="2354580"/>
            <wp:effectExtent l="0" t="0" r="0" b="0"/>
            <wp:docPr id="34" name="Объект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Общее количество предписаний, выданных по результатам проведения проверок,  составляет 712, из них, по результатам проведения проверок выдано 198 повторных предписаний. </w:t>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Количество устраненных нарушений земельного законодательства составило 573.</w:t>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Причины не устранения нарушений  в установленный срок различны.</w:t>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Имеются случаи несогласия с предлагаемой выкупной ценой, установленными арендными платежами, а так же причины, связанные с низкой правовой дисциплиной у граждан и юридических лиц.  </w:t>
      </w:r>
    </w:p>
    <w:p>
      <w:pPr>
        <w:pStyle w:val="Normal"/>
        <w:tabs>
          <w:tab w:val="clear" w:pos="708"/>
          <w:tab w:val="left" w:pos="741" w:leader="none"/>
        </w:tabs>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Общая сумма наложенных штрафов составляет 12052,85 тыс. руб., взыскано 7435,63 тыс. руб. </w:t>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Всего остаток непогашенной задолженности составляет 11066,65 тыс. рублей. Процентное соотношение взысканных за отчетный период штрафов  к наложенным за этот же период штрафам составляет 61,7 % (в 2015 – 32.3%). </w:t>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Управление Федеральной службы судебных приставов по Приморскому краю для принудительного взыскания наложенных сумм штрафов направлено 158  исполнительных документов на общую сумму 1789 тыс. рублей.</w:t>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На постановления о назначении административных наказаний подано 106 жалоб. Отменено 28 постановлений по делам об административных правонарушениях, из них пять постановлений отменено вышестоящим должностным лицом.</w:t>
      </w:r>
    </w:p>
    <w:p>
      <w:pPr>
        <w:pStyle w:val="Normal"/>
        <w:spacing w:lineRule="auto" w:line="240" w:before="0" w:after="0"/>
        <w:ind w:right="-1" w:firstLine="567"/>
        <w:jc w:val="both"/>
        <w:rPr>
          <w:rFonts w:ascii="Times New Roman" w:hAnsi="Times New Roman" w:eastAsia="Times New Roman" w:cs="Times New Roman"/>
          <w:sz w:val="28"/>
          <w:szCs w:val="28"/>
          <w:shd w:fill="FFFFFF" w:val="clear"/>
        </w:rPr>
      </w:pPr>
      <w:r>
        <w:rPr>
          <w:rFonts w:eastAsia="Times New Roman" w:cs="Times New Roman" w:ascii="Times New Roman" w:hAnsi="Times New Roman"/>
          <w:sz w:val="28"/>
          <w:szCs w:val="28"/>
          <w:shd w:fill="FFFFFF" w:val="clear"/>
        </w:rPr>
        <w:t xml:space="preserve">Причинами отмены постановлений о назначении административных наказаний правонарушений являются недостаточная, по мнению судов, доказательная база виновности привлекаемых к административной ответственности лиц либо формальные основания, вызванные нарушением процессуальных  норм. </w:t>
      </w:r>
    </w:p>
    <w:p>
      <w:pPr>
        <w:pStyle w:val="Normal"/>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Динамика показателей в рамках осуществления функции государственного земельного надзора по сравнению с аналогичным периодом   прошлого года:</w:t>
      </w:r>
    </w:p>
    <w:p>
      <w:pPr>
        <w:pStyle w:val="Normal"/>
        <w:spacing w:lineRule="auto" w:line="240" w:before="0" w:after="0"/>
        <w:ind w:right="-1" w:hanging="0"/>
        <w:jc w:val="both"/>
        <w:rPr>
          <w:rFonts w:ascii="Times New Roman" w:hAnsi="Times New Roman" w:eastAsia="Times New Roman" w:cs="Times New Roman"/>
        </w:rPr>
      </w:pPr>
      <w:r>
        <w:rPr>
          <w:rFonts w:eastAsia="Times New Roman" w:cs="Times New Roman" w:ascii="Times New Roman" w:hAnsi="Times New Roman"/>
        </w:rPr>
        <w:t xml:space="preserve">                                                                                                                            </w:t>
      </w:r>
    </w:p>
    <w:tbl>
      <w:tblPr>
        <w:tblW w:w="9570"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1326"/>
        <w:gridCol w:w="1372"/>
        <w:gridCol w:w="1376"/>
        <w:gridCol w:w="1382"/>
        <w:gridCol w:w="1373"/>
        <w:gridCol w:w="1368"/>
        <w:gridCol w:w="1372"/>
      </w:tblGrid>
      <w:tr>
        <w:trPr/>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28"/>
                <w:szCs w:val="28"/>
                <w:shd w:fill="FFFFFF" w:val="clear"/>
              </w:rPr>
            </w:pPr>
            <w:r>
              <w:rPr>
                <w:rFonts w:eastAsia="Times New Roman" w:cs="Times New Roman" w:ascii="Times New Roman" w:hAnsi="Times New Roman"/>
                <w:sz w:val="28"/>
                <w:szCs w:val="28"/>
                <w:shd w:fill="FFFFFF" w:val="clear"/>
              </w:rPr>
            </w:r>
          </w:p>
        </w:tc>
        <w:tc>
          <w:tcPr>
            <w:tcW w:w="13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Проведено проверок</w:t>
            </w:r>
          </w:p>
        </w:tc>
        <w:tc>
          <w:tcPr>
            <w:tcW w:w="13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Выявлено нарушений</w:t>
            </w:r>
          </w:p>
        </w:tc>
        <w:tc>
          <w:tcPr>
            <w:tcW w:w="13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Привлечено</w:t>
            </w:r>
          </w:p>
        </w:tc>
        <w:tc>
          <w:tcPr>
            <w:tcW w:w="13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Наложено, тыс.руб.</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Взыскано, тыс.руб.</w:t>
            </w:r>
          </w:p>
        </w:tc>
        <w:tc>
          <w:tcPr>
            <w:tcW w:w="13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both"/>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Устранено</w:t>
            </w:r>
          </w:p>
        </w:tc>
      </w:tr>
      <w:tr>
        <w:trPr/>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2016 год</w:t>
            </w:r>
          </w:p>
        </w:tc>
        <w:tc>
          <w:tcPr>
            <w:tcW w:w="13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2195</w:t>
            </w:r>
          </w:p>
        </w:tc>
        <w:tc>
          <w:tcPr>
            <w:tcW w:w="13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1260</w:t>
            </w:r>
          </w:p>
        </w:tc>
        <w:tc>
          <w:tcPr>
            <w:tcW w:w="13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1048</w:t>
            </w:r>
          </w:p>
        </w:tc>
        <w:tc>
          <w:tcPr>
            <w:tcW w:w="13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12052.85</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7435.63</w:t>
            </w:r>
          </w:p>
        </w:tc>
        <w:tc>
          <w:tcPr>
            <w:tcW w:w="13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573</w:t>
            </w:r>
          </w:p>
        </w:tc>
      </w:tr>
      <w:tr>
        <w:trPr/>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2015 год</w:t>
            </w:r>
          </w:p>
        </w:tc>
        <w:tc>
          <w:tcPr>
            <w:tcW w:w="13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2623</w:t>
            </w:r>
          </w:p>
        </w:tc>
        <w:tc>
          <w:tcPr>
            <w:tcW w:w="13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1366</w:t>
            </w:r>
          </w:p>
        </w:tc>
        <w:tc>
          <w:tcPr>
            <w:tcW w:w="13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1603</w:t>
            </w:r>
          </w:p>
        </w:tc>
        <w:tc>
          <w:tcPr>
            <w:tcW w:w="13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17253.86</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5577.39</w:t>
            </w:r>
          </w:p>
        </w:tc>
        <w:tc>
          <w:tcPr>
            <w:tcW w:w="13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1" w:hanging="0"/>
              <w:jc w:val="center"/>
              <w:rPr>
                <w:rFonts w:ascii="Times New Roman" w:hAnsi="Times New Roman" w:eastAsia="Times New Roman" w:cs="Times New Roman"/>
                <w:sz w:val="18"/>
                <w:szCs w:val="18"/>
                <w:shd w:fill="FFFFFF" w:val="clear"/>
              </w:rPr>
            </w:pPr>
            <w:r>
              <w:rPr>
                <w:rFonts w:eastAsia="Times New Roman" w:cs="Times New Roman" w:ascii="Times New Roman" w:hAnsi="Times New Roman"/>
                <w:sz w:val="18"/>
                <w:szCs w:val="18"/>
                <w:shd w:fill="FFFFFF" w:val="clear"/>
              </w:rPr>
              <w:t>518</w:t>
            </w:r>
          </w:p>
        </w:tc>
      </w:tr>
    </w:tbl>
    <w:p>
      <w:pPr>
        <w:pStyle w:val="Normal"/>
        <w:spacing w:lineRule="auto" w:line="240" w:before="0" w:after="0"/>
        <w:ind w:right="-1"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right="-1"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                                                                                                                           </w:t>
      </w:r>
    </w:p>
    <w:p>
      <w:pPr>
        <w:pStyle w:val="Normal"/>
        <w:spacing w:lineRule="auto" w:line="240" w:before="0" w:after="0"/>
        <w:ind w:right="-1"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right="-1"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right="-1"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right="-1"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right="-1"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right="-1"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right="-1"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right="-1"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right="-1"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right="-1"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right="-1"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ind w:right="-1" w:hanging="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Рис. 22</w:t>
      </w:r>
    </w:p>
    <w:p>
      <w:pPr>
        <w:pStyle w:val="Normal"/>
        <w:spacing w:lineRule="auto" w:line="240" w:before="0" w:after="200"/>
        <w:contextualSpacing/>
        <w:jc w:val="center"/>
        <w:rPr>
          <w:rFonts w:ascii="Times New Roman" w:hAnsi="Times New Roman" w:eastAsia="" w:cs="" w:cstheme="majorBidi" w:eastAsiaTheme="majorEastAsia"/>
          <w:b/>
          <w:b/>
          <w:sz w:val="28"/>
          <w:szCs w:val="28"/>
          <w:lang w:eastAsia="en-US" w:bidi="en-US"/>
        </w:rPr>
      </w:pPr>
      <w:r>
        <w:rPr/>
        <w:drawing>
          <wp:inline distT="0" distB="0" distL="0" distR="0">
            <wp:extent cx="5410200" cy="2301240"/>
            <wp:effectExtent l="0" t="0" r="0" b="0"/>
            <wp:docPr id="35" name="Объект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pStyle w:val="Normal"/>
        <w:spacing w:lineRule="auto" w:line="240" w:before="0" w:after="200"/>
        <w:contextualSpacing/>
        <w:jc w:val="center"/>
        <w:rPr>
          <w:rFonts w:ascii="Times New Roman" w:hAnsi="Times New Roman" w:eastAsia="" w:cs="" w:cstheme="majorBidi" w:eastAsiaTheme="majorEastAsia"/>
          <w:b/>
          <w:b/>
          <w:sz w:val="28"/>
          <w:szCs w:val="28"/>
          <w:lang w:eastAsia="en-US" w:bidi="en-US"/>
        </w:rPr>
      </w:pPr>
      <w:r>
        <w:rPr>
          <w:rFonts w:eastAsia="" w:cs="" w:cstheme="majorBidi"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 w:cstheme="majorBidi" w:eastAsiaTheme="majorEastAsia"/>
          <w:b/>
          <w:b/>
          <w:sz w:val="28"/>
          <w:szCs w:val="28"/>
          <w:lang w:eastAsia="en-US" w:bidi="en-US"/>
        </w:rPr>
      </w:pPr>
      <w:r>
        <w:rPr>
          <w:rFonts w:eastAsia="" w:cs="" w:cstheme="majorBidi" w:eastAsiaTheme="majorEastAsia" w:ascii="Times New Roman" w:hAnsi="Times New Roman"/>
          <w:b/>
          <w:sz w:val="28"/>
          <w:szCs w:val="28"/>
          <w:lang w:eastAsia="en-US" w:bidi="en-US"/>
        </w:rPr>
      </w:r>
    </w:p>
    <w:p>
      <w:pPr>
        <w:pStyle w:val="Normal"/>
        <w:spacing w:lineRule="auto" w:line="240" w:before="0" w:after="200"/>
        <w:contextualSpacing/>
        <w:jc w:val="center"/>
        <w:rPr>
          <w:rFonts w:ascii="Times New Roman" w:hAnsi="Times New Roman" w:eastAsia="" w:cs="" w:cstheme="majorBidi" w:eastAsiaTheme="majorEastAsia"/>
          <w:b/>
          <w:b/>
          <w:sz w:val="28"/>
          <w:szCs w:val="28"/>
          <w:lang w:eastAsia="en-US" w:bidi="en-US"/>
        </w:rPr>
      </w:pPr>
      <w:r>
        <w:rPr>
          <w:rFonts w:eastAsia="" w:cs="" w:ascii="Times New Roman" w:hAnsi="Times New Roman" w:cstheme="majorBidi" w:eastAsiaTheme="majorEastAsia"/>
          <w:b/>
          <w:sz w:val="28"/>
          <w:szCs w:val="28"/>
          <w:lang w:eastAsia="en-US" w:bidi="en-US"/>
        </w:rPr>
        <w:t>3.3.3. Взаимодействие с органами государственной власти и органами местного самоуправления</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С целью повышения интенсивности и эффективности работы государственных инспекторов по использованию и охране земель в истекшем году деятельность в сфере государственного земельного надзора была нацелена на изучение и применение вступивших в силу в 2016 году изменений в области государственного земельного надзора, административного производства.</w:t>
      </w:r>
    </w:p>
    <w:p>
      <w:pPr>
        <w:pStyle w:val="Normal"/>
        <w:shd w:val="clear" w:color="auto" w:fill="FFFFFF"/>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Вопросы государственного земельного надзора неоднократно рассматривались на заседаниях коллегии Управления и рабочих совещаниях при руководителе Управления.</w:t>
      </w:r>
    </w:p>
    <w:p>
      <w:pPr>
        <w:pStyle w:val="Normal"/>
        <w:tabs>
          <w:tab w:val="clear" w:pos="708"/>
          <w:tab w:val="left" w:pos="4400" w:leader="none"/>
        </w:tabs>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Решением коллегии Управления от 12.02.2016 по вопросу «Об итогах работы Управления за 2015 год и задачах на 2016 год» начальникам межмуниципальных отделов Управления поручено:</w:t>
      </w:r>
    </w:p>
    <w:p>
      <w:pPr>
        <w:pStyle w:val="Normal"/>
        <w:tabs>
          <w:tab w:val="clear" w:pos="708"/>
          <w:tab w:val="left" w:pos="0" w:leader="none"/>
        </w:tabs>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обратить внимание на упущения 2015 года в организации осуществления государственной функции по государственному земельному надзору, которые привели к существенному снижению как показателей занятости государственных инспекторов, эффективности контрольно-надзорных мероприятий и выполняемости планов проверок, так и полноты взыскания наложенных административных штрафов,</w:t>
      </w:r>
    </w:p>
    <w:p>
      <w:pPr>
        <w:pStyle w:val="Normal"/>
        <w:tabs>
          <w:tab w:val="clear" w:pos="708"/>
          <w:tab w:val="left" w:pos="0" w:leader="none"/>
        </w:tabs>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считать одним из приоритетных направлений деятельности достижение максимального уровня показателей эффективности и результативности исполнения государственной функции по государственному земельному надзору, установленных приказом Росреестра от 30.12.2015 № П/693, при соблюдении требований норм действующего законодательства.</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Кроме того, обращено внимание начальников Спасского, Лесозаводского и Арсеньевского межмуниципальных отделов  на качество проводимых проверок соблюдения земельного законодательства, в связи с недопустимо низким уровнем эффективности.</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 итогам деятельности за 1 квартал 2016 года начальникам межмуниципальных отделов вновь указано на ненадлежащую организацию работы по достижению поставленной задачи.</w:t>
      </w:r>
    </w:p>
    <w:p>
      <w:pPr>
        <w:pStyle w:val="Normal"/>
        <w:spacing w:lineRule="auto" w:line="240" w:before="0" w:after="0"/>
        <w:ind w:firstLine="567"/>
        <w:jc w:val="both"/>
        <w:rPr>
          <w:rFonts w:ascii="Times New Roman" w:hAnsi="Times New Roman" w:eastAsia="Times New Roman"/>
          <w:sz w:val="28"/>
          <w:szCs w:val="28"/>
        </w:rPr>
      </w:pPr>
      <w:r>
        <w:rPr>
          <w:rFonts w:eastAsia="Times New Roman" w:cs="Times New Roman" w:ascii="Times New Roman" w:hAnsi="Times New Roman"/>
          <w:sz w:val="28"/>
          <w:szCs w:val="28"/>
        </w:rPr>
        <w:t>Решением коллегии Управления от 22.07.2016 по вопросу «Об итогах деятельности структурных подразделений Управления по реализации основных задач за 6 месяцев 2016 года» обращено внимание начальников межмуниципальных отделов на низкий уровень эффективности проведения проверок соблюдения земельного законодательства и выполнения планов проведения проверок. Начальникам Артемовского и Уссурийского отделов поручено обеспечить надлежащее использование имеющегося геодезического оборудования при проведении проверок соблюдения земельного законодательства и административных обследований объектов земельных отношений.</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целях принятия скоординированных мер к выполнению планов проведения плановых проверок юридических лиц, индивидуальных предпринимателей и граждан (достижению показателя эффективности) проанализированы причины не проведения плановых проверок по итогам за 9 месяцев 2016 года. Результаты доведены до межмуниципальных отделов, при этом, поручено исключить в дальнейшем практику не проведения проверок по субъективным причинам.</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связи с существенным расхождением соотношения количества лиц, привлеченных к административной ответственности, с общим количеством составленных протоколов об административных правонарушениях, в целях координации мер по достижению показателя «доля составленных протоколов, по которым установлены факты административных правонарушений и вынесены решения о привлечении виновных лиц к административной ответственности» проанализированы причины прекращения дел об административных правонарушениях.</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Результаты доведены до межмуниципальных отделов, при этом, поручено исключить практику необоснованного возбуждения дел об административных правонарушениях, а также прекращения их в связи с малозначительностью. </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Решением коллегии Управления от 28.10.2016 по вопросу «Об эффективности деятельности Управления по осуществлению государственной функции по государственному земельному надзору»  начальникам Спасского, Дальнегорского, Арсеньевского, Большекаменского и Уссурийского межмуниципальных отделов указано на недопустимо низкий уровень результативности проведения проверок соблюдения земельного законодательства. Начальнику Артемовского отдела указано на недопустимость дальнейшей практики необоснованного прекращения дел об административных правонарушениях. Кроме того, начальникам межмуниципальных отделов поручено повторно обратить внимание на допущенные упущения в организации осуществления государственной функции по государственному земельному надзору, которые привели к существенному снижению эффективности и результативности контрольно-надзорных мероприятий и выполняемости планов проведения плановых проверок.</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Помимо коллегии Управления вопросы государственного земельного надзора неоднократно рассматривались на рабочих совещаниях при руководителе Управления, например:</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от 06.04.2016 в рамках вопроса «О новых критериях расчета эффективности земельного надзора. Об использовании возможностей специалистов муниципальных образований края по обеспечению земельного контроля и возможности перераспределения нагрузки (по проведению проверок) между Управлением и муниципальными образованиями»,</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от 28.06.2016 в рамках вопроса «О результатах проведения плановой тематической проверки деятельности Находкинского межмуниципального отдела Управления в сфере исполнения государственной функции по государственному земельному надзору»,</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от 08.12.2016 в рамках вопроса «О рейтинге территориальных органов Росреестра и структурных подразделений Управления Росреестра по Приморскому краю, а также учете результатов при подведении итогов и оценке работы структурных подразделений Управления».</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 результатам приняты управленческие решения.</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Кроме того, вопрос «Государственный земельный надзор: результаты, проблемы и перспективы» был вынесен и рассмотрен на заседании Общественного совета при Управлении Росреестра по Приморскому краю от 10.11.2016.  </w:t>
      </w:r>
    </w:p>
    <w:p>
      <w:pPr>
        <w:pStyle w:val="Normal"/>
        <w:spacing w:lineRule="auto" w:line="240" w:before="0" w:after="0"/>
        <w:ind w:firstLine="567"/>
        <w:jc w:val="both"/>
        <w:rPr>
          <w:rFonts w:ascii="Times New Roman" w:hAnsi="Times New Roman" w:eastAsia="Times New Roman"/>
          <w:sz w:val="28"/>
          <w:szCs w:val="28"/>
        </w:rPr>
      </w:pPr>
      <w:r>
        <w:rPr>
          <w:rFonts w:eastAsia="Times New Roman" w:cs="Times New Roman" w:ascii="Times New Roman" w:hAnsi="Times New Roman"/>
          <w:sz w:val="28"/>
          <w:szCs w:val="28"/>
        </w:rPr>
        <w:t>В целях снижения остатка невзысканных сумм наложенных административных штрафов и достижения показателя эффективности «доля штрафов, которые уплачены или переданы для взыскания в службу судебных приставов» разработан и доведен до межмуниципальных отделов  соответствующий механизм необходимых организационных мер с приложением примерных образцов процессуальных документов.</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связи с незначительностью роли органов муниципального земельного контроля в вопросах выявления и пресечения нарушений земельного законодательства Управлением:</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главам городских округов, муниципальных районов и городских поселений направлены письма с предложением об активизации вопросов муниципального земельного контроля,</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во всех городских округах и муниципальных районах Приморского края инициированы и проведены совместные совещания с руководством администраций муниципальных образований, на которых рассмотрены как вопросы активизации муниципального земельного контроля, так и совершенствования способов информационного взаимодействия с органом государственного земельного надзора.</w:t>
      </w:r>
    </w:p>
    <w:p>
      <w:pPr>
        <w:pStyle w:val="Normal"/>
        <w:spacing w:lineRule="auto" w:line="240" w:before="0" w:after="0"/>
        <w:ind w:firstLine="567"/>
        <w:jc w:val="both"/>
        <w:rPr>
          <w:rFonts w:ascii="Times New Roman" w:hAnsi="Times New Roman" w:eastAsia="Times New Roman" w:cs="Times New Roman"/>
          <w:sz w:val="28"/>
          <w:szCs w:val="28"/>
          <w:u w:val="single"/>
        </w:rPr>
      </w:pPr>
      <w:r>
        <w:rPr>
          <w:rFonts w:eastAsia="Times New Roman" w:cs="Times New Roman" w:ascii="Times New Roman" w:hAnsi="Times New Roman"/>
          <w:sz w:val="28"/>
          <w:szCs w:val="28"/>
        </w:rPr>
        <w:t>В целях сокращения числа допускаемых нарушений требований действующего законодательства выполнен ряд мероприятий</w:t>
      </w:r>
      <w:r>
        <w:rPr>
          <w:rFonts w:eastAsia="Times New Roman" w:cs="Times New Roman" w:ascii="Times New Roman" w:hAnsi="Times New Roman"/>
          <w:sz w:val="28"/>
          <w:szCs w:val="28"/>
          <w:u w:val="single"/>
        </w:rPr>
        <w:t xml:space="preserve"> </w:t>
      </w:r>
      <w:r>
        <w:rPr>
          <w:rFonts w:eastAsia="Times New Roman" w:cs="Times New Roman" w:ascii="Times New Roman" w:hAnsi="Times New Roman"/>
          <w:sz w:val="28"/>
          <w:szCs w:val="28"/>
        </w:rPr>
        <w:t>информационно-методического обеспечения, в т.ч.:</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проанализирована актуальность содержания выносимых распоряжений о проведении проверок, результаты доведены до межмуниципальных отделов с отражением перечня необходимых корректировок. С учетом изменений, вступающих в силу с 01.01.2017, разработаны и доведены новые примерные образцы форм распоряжений и актов проверок. </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по результатам систематического изучения содержания формируемых межмуниципальными отделами распоряжений и актов проверок на протяжении всего отчетного периода давались персональные поручения начальникам межмуниципальных отделов об устранении нарушений норм федерального законодательства. Обобщенная информация о допускаемых нарушениях требований ФЗ-294 дважды доведена до межмуниципальных отделов.</w:t>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обобщены проблемные вопросы, связанные с непосредственным осуществлением государственной функции. По результатам разработаны рекомендации (разъяснения), которые доведены до межмуниципальных отделов многочисленными служебными записками (всего 17 разъяснений).</w:t>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проанализированы нарушения требований федерального законодательства, выявленные органами прокуратуры в деятельности межмуниципальных отделов по результатам проверок, проведенных в 2015 году и 1 полугодии 2016 года. Результаты доведены информационными письмами.</w:t>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проанализированы все акты прокурорского реагирования, поступившие в Управление за последние 5 лет. Соответствующий «Обзор характерных нарушений требований законодательства, выявленных органами прокуратуры в 2012 – 2016 годах» доведен до межмуниципальных отделов информационным письмом.</w:t>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проанализированы итоги тематических проверок деятельности межмуниципальных отделов в сфере государственного земельного надзора, проведенных в 2016 году. Результаты доведены до межмуниципальных отделов информационным письмом.</w:t>
      </w:r>
    </w:p>
    <w:p>
      <w:pPr>
        <w:pStyle w:val="Normal"/>
        <w:spacing w:lineRule="auto" w:line="240" w:before="0" w:after="0"/>
        <w:ind w:firstLine="567"/>
        <w:contextualSpacing/>
        <w:jc w:val="both"/>
        <w:rPr>
          <w:rFonts w:ascii="Times New Roman" w:hAnsi="Times New Roman" w:cs="Times New Roman"/>
          <w:sz w:val="28"/>
          <w:szCs w:val="28"/>
        </w:rPr>
      </w:pPr>
      <w:r>
        <w:rPr>
          <w:rFonts w:eastAsia="Times New Roman" w:cs="Times New Roman" w:ascii="Times New Roman" w:hAnsi="Times New Roman"/>
          <w:sz w:val="28"/>
          <w:szCs w:val="28"/>
        </w:rPr>
        <w:t xml:space="preserve">- проанализированы результаты всех проверок межмуниципальных отделов (тематических, комплексных, контрольных) в части осуществления государственного земельного надзора, проведенных за последние 5 лет. Соответствующий «Обзор нарушений обязательных требований, выявленных в ходе проведения проверок деятельности межмуниципальных отделов в сфере государственного земельного надзора» доведен до межмуниципальных отделов соответствующим информационным письмом.     </w:t>
      </w:r>
    </w:p>
    <w:p>
      <w:pPr>
        <w:pStyle w:val="Normal"/>
        <w:spacing w:lineRule="auto" w:line="240" w:before="0" w:after="0"/>
        <w:ind w:firstLine="567"/>
        <w:jc w:val="both"/>
        <w:rPr>
          <w:rFonts w:ascii="Times New Roman" w:hAnsi="Times New Roman" w:eastAsia="Times New Roman"/>
          <w:sz w:val="28"/>
          <w:szCs w:val="28"/>
        </w:rPr>
      </w:pPr>
      <w:r>
        <w:rPr>
          <w:rFonts w:eastAsia="Times New Roman" w:cs="Times New Roman" w:ascii="Times New Roman" w:hAnsi="Times New Roman"/>
          <w:sz w:val="28"/>
          <w:szCs w:val="28"/>
        </w:rPr>
        <w:t>- проанализирована практика рассмотрения жалоб (протестов), поданных в порядке подчиненности на постановления по делам об административных правонарушениях, результаты доведены до межмуниципальных отделов.</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обобщены решения коллегии Управления за период с 2012 по 2016 года в сфере вопросов государственного земельного надзора, соответствующая выписка направлена в межмуниципальные отделы для использования в работе.</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в помощь начальникам межмуниципальных отделов разработан «Примерный перечень организационных мер, направленных на выполнение показателей эффективности и результативности деятельности межмуниципального отдела в сфере государственного земельного надзора (Памятка начальнику отдела)». </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Кроме того, аппаратом Управления в течение 2016 года проведены семинары-совещания с государственными гражданскими служащими Артемовского, Уссурийского, Находкинского, Арсеньевского, Дальнегорского, Спасского, Лесозаводского и Дальнереченского  межмуниципальных отделов Управления.  </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На постоянной основе (практически ежедневно) государственным инспекторам по поставленным ими вопросам оказывается консультационная помощь по телефону. </w:t>
      </w:r>
    </w:p>
    <w:p>
      <w:pPr>
        <w:pStyle w:val="Normal"/>
        <w:shd w:val="clear" w:color="auto" w:fill="FFFFFF"/>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В целях повышения информированности населения на постоянной основе принимаются меры к информированию населения о деятельности в сфере государственного земельного надзора, в том числе о последствиях нарушения земельного законодательства. </w:t>
      </w:r>
    </w:p>
    <w:p>
      <w:pPr>
        <w:pStyle w:val="Normal"/>
        <w:shd w:val="clear" w:color="auto" w:fill="FFFFFF"/>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Информация о проведенных мероприятиях в рамках осуществления государственного земельного надзора на территории Владивостокского городского округа размещается на подсайте Управления дважды в месяц. Ежеквартально размещается информация о результатах осуществления государственной функции в таких крупных городских округах как Артемовский, Уссурийский и Находкинский. </w:t>
      </w:r>
    </w:p>
    <w:p>
      <w:pPr>
        <w:pStyle w:val="Normal"/>
        <w:tabs>
          <w:tab w:val="clear" w:pos="708"/>
          <w:tab w:val="left" w:pos="4400" w:leader="none"/>
        </w:tabs>
        <w:spacing w:lineRule="auto" w:line="240" w:before="0" w:after="0"/>
        <w:ind w:right="-8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В 2016 году всего было опубликовано 77 информационных материалов на тему «Государственный земельный надзор», из них 53 в местных СМИ, а именно: 45 в сети интернет, 5 в печатных изданиях, 3 в эфире местного телевидения и 1 на радио.   24 публикации было размещено на сайтах органов власти, городских порталах и иных информационных ресурсах в сети интернет, не зарегистрированных как СМИ. </w:t>
      </w:r>
    </w:p>
    <w:p>
      <w:pPr>
        <w:pStyle w:val="Normal"/>
        <w:tabs>
          <w:tab w:val="clear" w:pos="708"/>
          <w:tab w:val="left" w:pos="4400" w:leader="none"/>
        </w:tabs>
        <w:spacing w:lineRule="auto" w:line="240" w:before="0" w:after="0"/>
        <w:ind w:right="-8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Публикации размещены: в газетах «Золотой Рог», «Спасск», «Владивосток» и в интернет-версиях данных изданий; на Радио Россия, ВГТРК; на канале местного телевидения Вести Приморья (канал Россия 1); в новостных разделах информационного интернет-портала «Дейта.ру», на сайте Сетевого издания «Экология Регионов», на портале канала «Вести. Приморье» </w:t>
      </w:r>
      <w:r>
        <w:rPr>
          <w:rFonts w:eastAsia="Times New Roman" w:cs="Times New Roman" w:ascii="Times New Roman" w:hAnsi="Times New Roman"/>
          <w:sz w:val="28"/>
          <w:szCs w:val="28"/>
          <w:lang w:val="en-US"/>
        </w:rPr>
        <w:t>vestiprim</w:t>
      </w:r>
      <w:r>
        <w:rPr>
          <w:rFonts w:eastAsia="Times New Roman" w:cs="Times New Roman" w:ascii="Times New Roman" w:hAnsi="Times New Roman"/>
          <w:sz w:val="28"/>
          <w:szCs w:val="28"/>
        </w:rPr>
        <w:t>.</w:t>
      </w:r>
      <w:r>
        <w:rPr>
          <w:rFonts w:eastAsia="Times New Roman" w:cs="Times New Roman" w:ascii="Times New Roman" w:hAnsi="Times New Roman"/>
          <w:sz w:val="28"/>
          <w:szCs w:val="28"/>
          <w:lang w:val="en-US"/>
        </w:rPr>
        <w:t>ru</w:t>
      </w:r>
      <w:r>
        <w:rPr>
          <w:rFonts w:eastAsia="Times New Roman" w:cs="Times New Roman" w:ascii="Times New Roman" w:hAnsi="Times New Roman"/>
          <w:sz w:val="28"/>
          <w:szCs w:val="28"/>
        </w:rPr>
        <w:t>, в электронной версии журнала «Геодезия и Картография», на сайте Интернет-издания ДВ-РОСС, а также на сайте «Базис. Консультант плюс», на сайте Общероссийской Общественной Организации «Ассоциация Юристов России» и др.</w:t>
      </w:r>
    </w:p>
    <w:p>
      <w:pPr>
        <w:pStyle w:val="Normal"/>
        <w:spacing w:lineRule="auto" w:line="240" w:before="0" w:after="0"/>
        <w:ind w:firstLine="709"/>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14 публикаций о работе государственного земельного надзора были размещены также на подсайте Управления.</w:t>
      </w:r>
    </w:p>
    <w:p>
      <w:pPr>
        <w:pStyle w:val="Normal"/>
        <w:spacing w:lineRule="auto" w:line="240" w:before="0" w:after="0"/>
        <w:ind w:firstLine="709"/>
        <w:contextualSpacing/>
        <w:jc w:val="both"/>
        <w:rPr>
          <w:rFonts w:ascii="Times New Roman" w:hAnsi="Times New Roman"/>
          <w:sz w:val="28"/>
          <w:szCs w:val="28"/>
        </w:rPr>
      </w:pPr>
      <w:r>
        <w:rPr>
          <w:rFonts w:ascii="Times New Roman" w:hAnsi="Times New Roman"/>
          <w:sz w:val="28"/>
          <w:szCs w:val="28"/>
        </w:rPr>
      </w:r>
    </w:p>
    <w:p>
      <w:pPr>
        <w:pStyle w:val="Normal"/>
        <w:spacing w:lineRule="auto" w:line="240" w:before="0" w:after="0"/>
        <w:jc w:val="center"/>
        <w:rPr>
          <w:rFonts w:ascii="Times New Roman" w:hAnsi="Times New Roman" w:eastAsia="Calibri" w:cs="Times New Roman"/>
          <w:b/>
          <w:b/>
          <w:sz w:val="28"/>
          <w:szCs w:val="28"/>
          <w:lang w:eastAsia="en-US"/>
        </w:rPr>
      </w:pPr>
      <w:bookmarkStart w:id="534" w:name="_Toc34212873"/>
      <w:bookmarkStart w:id="535" w:name="_Toc34558253"/>
      <w:bookmarkStart w:id="536" w:name="_Toc34559051"/>
      <w:bookmarkStart w:id="537" w:name="_Toc34559227"/>
      <w:bookmarkStart w:id="538" w:name="_Toc34560070"/>
      <w:bookmarkStart w:id="539" w:name="_Toc34560117"/>
      <w:bookmarkStart w:id="540" w:name="_Toc34560207"/>
      <w:bookmarkStart w:id="541" w:name="_Toc95718789"/>
      <w:bookmarkStart w:id="542" w:name="_Toc96823438"/>
      <w:bookmarkStart w:id="543" w:name="_Toc97106192"/>
      <w:bookmarkStart w:id="544" w:name="_Toc130628095"/>
      <w:bookmarkStart w:id="545" w:name="_Toc256850193"/>
      <w:bookmarkEnd w:id="534"/>
      <w:bookmarkEnd w:id="535"/>
      <w:bookmarkEnd w:id="536"/>
      <w:bookmarkEnd w:id="537"/>
      <w:bookmarkEnd w:id="538"/>
      <w:bookmarkEnd w:id="539"/>
      <w:bookmarkEnd w:id="540"/>
      <w:bookmarkEnd w:id="541"/>
      <w:bookmarkEnd w:id="542"/>
      <w:bookmarkEnd w:id="543"/>
      <w:bookmarkEnd w:id="544"/>
      <w:bookmarkEnd w:id="545"/>
      <w:r>
        <w:rPr>
          <w:rFonts w:eastAsia="Calibri" w:cs="Times New Roman" w:ascii="Times New Roman" w:hAnsi="Times New Roman"/>
          <w:b/>
          <w:sz w:val="28"/>
          <w:szCs w:val="28"/>
          <w:lang w:eastAsia="en-US"/>
        </w:rPr>
        <w:t>3.3.4. Взаимодействие с органами муниципального и общественного земельного контроля</w:t>
      </w:r>
    </w:p>
    <w:p>
      <w:pPr>
        <w:pStyle w:val="Normal"/>
        <w:spacing w:lineRule="auto" w:line="240" w:before="0" w:after="0"/>
        <w:jc w:val="center"/>
        <w:rPr>
          <w:rFonts w:ascii="Times New Roman" w:hAnsi="Times New Roman" w:eastAsia="Calibri" w:cs="Times New Roman"/>
          <w:b/>
          <w:b/>
          <w:sz w:val="28"/>
          <w:szCs w:val="28"/>
          <w:lang w:eastAsia="en-US"/>
        </w:rPr>
      </w:pPr>
      <w:r>
        <w:rPr>
          <w:rFonts w:eastAsia="Calibri" w:cs="Times New Roman" w:ascii="Times New Roman" w:hAnsi="Times New Roman"/>
          <w:b/>
          <w:sz w:val="28"/>
          <w:szCs w:val="28"/>
          <w:lang w:eastAsia="en-US"/>
        </w:rPr>
      </w:r>
    </w:p>
    <w:p>
      <w:pPr>
        <w:pStyle w:val="Normal"/>
        <w:spacing w:lineRule="auto" w:line="240" w:before="0" w:after="0"/>
        <w:ind w:right="-1"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целях совершенствования и упорядочивания вопросов взаимодействия (в т.ч. путем обмена информацией) при осуществлении государственного земельного надзора заключено в новой редакции  Соглашение об информационном взаимодействии с Управлением ФНС России по Приморскому краю и Управлением Россельхознадзора по Проиморскому краю и Сахалинской области.</w:t>
      </w:r>
    </w:p>
    <w:p>
      <w:pPr>
        <w:pStyle w:val="Normal"/>
        <w:spacing w:lineRule="auto" w:line="240" w:before="0" w:after="0"/>
        <w:ind w:right="-1"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связи с существенным изменением порядка осуществления муниципального земельного контроля организована работа по заключению Соглашений о взаимодействии с органами местного самоуправления в новой редакции. В 2016 году заключено 7 таких Соглашений (с администрациями Владивостокского, Дальнереченского, Арсеньевского, Артемовского городских округов, городского округа Спасск-Дальний, Шкотовского и Надеждинского муниципальных районов).</w:t>
      </w:r>
    </w:p>
    <w:p>
      <w:pPr>
        <w:pStyle w:val="Normal"/>
        <w:spacing w:lineRule="auto" w:line="240" w:before="0" w:after="200"/>
        <w:ind w:right="-1" w:firstLine="567"/>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xml:space="preserve">В настоящее время действует 72 соглашения о взаимодействии с органами государственной власти и органами местного самоуправления. В рамках ранее заключенных соглашений осуществляется взаимодействие с Управлением Росприроднадзора по Приморскому краю, ФССП России, Управлением Федеральной налоговой службы по Приморскому краю.  </w:t>
      </w:r>
    </w:p>
    <w:p>
      <w:pPr>
        <w:pStyle w:val="Normal"/>
        <w:spacing w:lineRule="auto" w:line="240" w:before="0" w:after="200"/>
        <w:ind w:firstLine="567"/>
        <w:contextualSpacing/>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 xml:space="preserve">В 2016 году отлажен механизм отработки запросов посредством электронного оборота документов, в том числе сведения об отнесении лиц к субъектам малого и среднего предпринимательства, получения актуальных сведений из ЕГРЮЛ и ЕГРИП. </w:t>
      </w:r>
    </w:p>
    <w:p>
      <w:pPr>
        <w:pStyle w:val="Normal"/>
        <w:spacing w:lineRule="auto" w:line="240" w:before="0" w:after="0"/>
        <w:ind w:right="-1" w:firstLine="567"/>
        <w:jc w:val="both"/>
        <w:rPr>
          <w:rFonts w:ascii="Times New Roman" w:hAnsi="Times New Roman" w:eastAsia="Calibri" w:cs="Times New Roman"/>
          <w:sz w:val="28"/>
          <w:szCs w:val="28"/>
          <w:lang w:eastAsia="en-US"/>
        </w:rPr>
      </w:pPr>
      <w:r>
        <w:rPr>
          <w:rFonts w:eastAsia="Times New Roman" w:cs="Times New Roman" w:ascii="Times New Roman" w:hAnsi="Times New Roman"/>
          <w:sz w:val="28"/>
          <w:szCs w:val="28"/>
        </w:rPr>
        <w:t xml:space="preserve">Взаимодействие с органами, осуществляющими муниципальный земельный контроль строится на основе положений постановления Правительства РФ от 26.12.2014 № 1515 «Об утверждении правил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 что включает в себя </w:t>
      </w:r>
      <w:r>
        <w:rPr>
          <w:rFonts w:eastAsia="Calibri" w:cs="Times New Roman" w:ascii="Times New Roman" w:hAnsi="Times New Roman"/>
          <w:sz w:val="28"/>
          <w:szCs w:val="28"/>
          <w:lang w:eastAsia="en-US"/>
        </w:rPr>
        <w:t>своевременный обмен взаимной информацией о нарушителях земельного законодательства, планировании и проведении проверок, участие в совместных рабочих группах и комиссиях.</w:t>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За отчетный период в Управление из органов муниципального земельного контроля для рассмотрения поступило 661 акт проверки объектов земельных отношений. В 2015 их поступило 363, в 2014 – 207. Динамика роста поступления представлена на диаграмме.</w:t>
      </w:r>
    </w:p>
    <w:p>
      <w:pPr>
        <w:pStyle w:val="Normal"/>
        <w:spacing w:lineRule="auto" w:line="240" w:before="0" w:after="0"/>
        <w:ind w:firstLine="708"/>
        <w:contextualSpacing/>
        <w:jc w:val="right"/>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0"/>
          <w:szCs w:val="20"/>
        </w:rPr>
        <w:t>Рис. 23</w:t>
      </w:r>
      <w:r>
        <w:rPr/>
        <w:drawing>
          <wp:inline distT="0" distB="0" distL="0" distR="0">
            <wp:extent cx="5486400" cy="3200400"/>
            <wp:effectExtent l="0" t="0" r="0" b="0"/>
            <wp:docPr id="36" name="Объект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pPr>
        <w:pStyle w:val="Normal"/>
        <w:spacing w:lineRule="auto" w:line="240" w:before="0" w:after="0"/>
        <w:ind w:firstLine="708"/>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По результатам их рассмотрения, в порядке ст. 28.1 КоАП РФ, возбуждено 195 дел об административных правонарушениях, привлечено к административной ответственности 132 правонарушителя. </w:t>
      </w:r>
    </w:p>
    <w:p>
      <w:pPr>
        <w:pStyle w:val="Normal"/>
        <w:spacing w:lineRule="auto" w:line="240" w:before="0" w:after="0"/>
        <w:ind w:firstLine="567"/>
        <w:contextualSpacing/>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Наложено штрафов на сумму 2278 тыс. рублей. </w:t>
      </w:r>
    </w:p>
    <w:p>
      <w:pPr>
        <w:pStyle w:val="Normal"/>
        <w:shd w:val="clear" w:color="auto" w:fill="FFFFFF"/>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Проверено 2067 актов субъектов РФ и органов местного самоуправления. Выявлен один факт издания акта не в соответствие с требованиями земельного законодательства.</w:t>
      </w:r>
    </w:p>
    <w:p>
      <w:pPr>
        <w:pStyle w:val="Normal"/>
        <w:shd w:val="clear" w:color="auto" w:fill="FFFFFF"/>
        <w:spacing w:lineRule="auto" w:line="240" w:before="0" w:after="0"/>
        <w:ind w:right="-1"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Внесено предложение о приведении указанного акта в соответствие с требованиями земельного законодательства.</w:t>
      </w:r>
    </w:p>
    <w:p>
      <w:pPr>
        <w:pStyle w:val="Normal"/>
        <w:spacing w:lineRule="auto" w:line="24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before="0" w:after="0"/>
        <w:jc w:val="center"/>
        <w:rPr>
          <w:rFonts w:ascii="Times New Roman" w:hAnsi="Times New Roman" w:eastAsia="" w:cs="Times New Roman" w:eastAsiaTheme="majorEastAsia"/>
          <w:b/>
          <w:b/>
          <w:smallCaps/>
          <w:sz w:val="28"/>
          <w:szCs w:val="28"/>
          <w:lang w:eastAsia="en-US" w:bidi="en-US"/>
        </w:rPr>
      </w:pPr>
      <w:r>
        <w:rPr>
          <w:rFonts w:eastAsia="" w:cs="Times New Roman" w:eastAsiaTheme="majorEastAsia" w:ascii="Times New Roman" w:hAnsi="Times New Roman"/>
          <w:b/>
          <w:smallCaps/>
          <w:sz w:val="28"/>
          <w:szCs w:val="28"/>
          <w:lang w:eastAsia="en-US" w:bidi="en-US"/>
        </w:rPr>
      </w:r>
    </w:p>
    <w:p>
      <w:pPr>
        <w:pStyle w:val="Normal"/>
        <w:jc w:val="center"/>
        <w:rPr>
          <w:rFonts w:ascii="Times New Roman" w:hAnsi="Times New Roman" w:eastAsia="" w:cs="Times New Roman" w:eastAsiaTheme="majorEastAsia"/>
          <w:b/>
          <w:b/>
          <w:sz w:val="28"/>
          <w:szCs w:val="28"/>
          <w:lang w:eastAsia="en-US" w:bidi="en-US"/>
        </w:rPr>
      </w:pPr>
      <w:r>
        <w:rPr>
          <w:rFonts w:eastAsia="" w:cs="Times New Roman" w:ascii="Times New Roman" w:hAnsi="Times New Roman" w:eastAsiaTheme="majorEastAsia"/>
          <w:b/>
          <w:smallCaps/>
          <w:sz w:val="28"/>
          <w:szCs w:val="28"/>
          <w:lang w:eastAsia="en-US" w:bidi="en-US"/>
        </w:rPr>
        <w:t>3.4. ГОСУДАРСТВЕННАЯ КАДАСТРОВАЯ ОЦЕНКА ЗЕМЕЛЬ В ПРИМОРСКОМ КРАЕ</w:t>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Times New Roman" w:ascii="Times New Roman" w:hAnsi="Times New Roman" w:eastAsiaTheme="majorEastAsia"/>
          <w:b/>
          <w:sz w:val="28"/>
          <w:szCs w:val="28"/>
          <w:lang w:eastAsia="en-US" w:bidi="en-US"/>
        </w:rPr>
        <w:t xml:space="preserve">3.4.1. </w:t>
      </w:r>
      <w:r>
        <w:rPr>
          <w:rFonts w:eastAsia="" w:cs="" w:ascii="Times New Roman" w:hAnsi="Times New Roman" w:cstheme="majorBidi" w:eastAsiaTheme="majorEastAsia"/>
          <w:b/>
          <w:sz w:val="28"/>
          <w:szCs w:val="28"/>
          <w:lang w:eastAsia="en-US" w:bidi="en-US"/>
        </w:rPr>
        <w:t>Сведения о проведении на территории Приморского края  государственной кадастровой оценки земель</w:t>
      </w:r>
    </w:p>
    <w:p>
      <w:pPr>
        <w:pStyle w:val="Normal"/>
        <w:widowControl w:val="false"/>
        <w:spacing w:lineRule="auto" w:line="240" w:before="0" w:after="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xml:space="preserve">Работы по государственной кадастровой оценке регулируются Федеральным законом от 29.07.1998 № 135-ФЗ «Об оценочной деятельности в Российской Федерации» (далее – Закон об оценочной деятельности). </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В соответствии со ст. 24.11 Закона об оценочной деятельности под государственной кадастровой оценкой понимается совокупность действий, включающих в себя:</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принятие решения о проведении государственной кадастровой оценки;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формирование перечня объектов недвижимости, подлежащих государственной кадастровой оценке;</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отбор исполнителя работ по определению кадастровой стоимости и заключение с ним договора на проведение оценки;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определение кадастровой стоимости и составление отчета об определении кадастровой стоимости;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экспертизу отчета об определении кадастровой стоимости;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утверждение результатов определения кадастровой стоимости;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внесение результатов определения кадастровой стоимости в государственный кадастр недвижимости.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Согласно ст. 24.12 Закона об оценочной деятельности орган, принявший решение о проведении государственной кадастровой оценки, является заказчиком работ по определению кадастровой стоимости.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xml:space="preserve">В 2016 году на территории Приморского края проведены работы по актуализации государственной кадастровой оценки земельпромышленности и иного специального назначения, земель особо охраняемых территорий и объектов, земель водного фонда. Данные работы проводились на основании приказов департамента земельных и имущественных отношений Приморского края от 05.11.2015 № 277, от 05.11.2015 № 278, от 14.12.2015 № 292. </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xml:space="preserve">Таким образом, заказчиком работ по государственной кадастровой оценке земель в 2016 году являлся департамент земельных и имущественных отношений Приморского края. </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Работы проводились в отношении земельных участков, учтенных в государственном кадастре недвижимости по состоянию на 01.11.2015.</w:t>
      </w:r>
    </w:p>
    <w:p>
      <w:pPr>
        <w:pStyle w:val="Normal"/>
        <w:suppressAutoHyphens w:val="tru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Задачами проведенных работ являются:</w:t>
      </w:r>
    </w:p>
    <w:p>
      <w:pPr>
        <w:pStyle w:val="Normal"/>
        <w:suppressAutoHyphens w:val="tru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 актуализация результатов государственной кадастровой оценки земель;</w:t>
      </w:r>
    </w:p>
    <w:p>
      <w:pPr>
        <w:pStyle w:val="Normal"/>
        <w:suppressAutoHyphens w:val="tru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 формирование налоговой базы для исчисления земельного налога;</w:t>
      </w:r>
    </w:p>
    <w:p>
      <w:pPr>
        <w:pStyle w:val="Normal"/>
        <w:suppressAutoHyphens w:val="tru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 информационное наполнение государственного кадастра недвижимости с целью передачи сведений об объектах налогообложения в налоговые органы.</w:t>
      </w:r>
    </w:p>
    <w:p>
      <w:pPr>
        <w:pStyle w:val="Normal"/>
        <w:suppressAutoHyphens w:val="tru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В результате проведенных в 2016 году работ в государственный кадастр недвижимости внесена актуализированная кадастровая стоимость 10 425 земельных участков.</w:t>
      </w:r>
    </w:p>
    <w:p>
      <w:pPr>
        <w:pStyle w:val="Normal"/>
        <w:suppressAutoHyphens w:val="tru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Государственная кадастровая оценка земель иных категорий в 2016 году на территории Приморского края не проводилась.</w:t>
      </w:r>
    </w:p>
    <w:p>
      <w:pPr>
        <w:pStyle w:val="Normal"/>
        <w:suppressAutoHyphens w:val="tru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В табл.19 представлена информация о проведении на территории Приморского края последней актуализации государственной кадастровой оценки земель различных категорий.</w:t>
      </w:r>
    </w:p>
    <w:p>
      <w:pPr>
        <w:pStyle w:val="Normal"/>
        <w:suppressAutoHyphens w:val="tru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r>
    </w:p>
    <w:p>
      <w:pPr>
        <w:pStyle w:val="Normal"/>
        <w:suppressAutoHyphens w:val="tru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r>
    </w:p>
    <w:p>
      <w:pPr>
        <w:pStyle w:val="Normal"/>
        <w:suppressAutoHyphens w:val="tru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r>
    </w:p>
    <w:p>
      <w:pPr>
        <w:pStyle w:val="Normal"/>
        <w:suppressAutoHyphens w:val="tru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r>
    </w:p>
    <w:p>
      <w:pPr>
        <w:pStyle w:val="Normal"/>
        <w:suppressAutoHyphens w:val="tru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r>
    </w:p>
    <w:p>
      <w:pPr>
        <w:pStyle w:val="Normal"/>
        <w:suppressAutoHyphens w:val="true"/>
        <w:spacing w:lineRule="auto" w:line="240" w:before="0" w:after="0"/>
        <w:ind w:firstLine="567"/>
        <w:contextualSpacing/>
        <w:jc w:val="right"/>
        <w:rPr>
          <w:rFonts w:ascii="Times New Roman" w:hAnsi="Times New Roman"/>
          <w:sz w:val="28"/>
          <w:szCs w:val="28"/>
        </w:rPr>
      </w:pPr>
      <w:r>
        <w:rPr>
          <w:rFonts w:ascii="Times New Roman" w:hAnsi="Times New Roman"/>
          <w:sz w:val="28"/>
          <w:szCs w:val="28"/>
        </w:rPr>
        <w:t>Табл. 19</w:t>
      </w:r>
    </w:p>
    <w:tbl>
      <w:tblPr>
        <w:tblW w:w="9371" w:type="dxa"/>
        <w:jc w:val="left"/>
        <w:tblInd w:w="93" w:type="dxa"/>
        <w:tblLayout w:type="fixed"/>
        <w:tblCellMar>
          <w:top w:w="0" w:type="dxa"/>
          <w:left w:w="108" w:type="dxa"/>
          <w:bottom w:w="0" w:type="dxa"/>
          <w:right w:w="108" w:type="dxa"/>
        </w:tblCellMar>
        <w:tblLook w:val="04a0" w:noHBand="0" w:noVBand="1" w:firstColumn="1" w:lastRow="0" w:lastColumn="0" w:firstRow="1"/>
      </w:tblPr>
      <w:tblGrid>
        <w:gridCol w:w="2666"/>
        <w:gridCol w:w="1669"/>
        <w:gridCol w:w="1668"/>
        <w:gridCol w:w="1668"/>
        <w:gridCol w:w="1700"/>
      </w:tblGrid>
      <w:tr>
        <w:trPr>
          <w:trHeight w:val="792" w:hRule="atLeast"/>
        </w:trPr>
        <w:tc>
          <w:tcPr>
            <w:tcW w:w="2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Категория</w:t>
            </w:r>
          </w:p>
        </w:tc>
        <w:tc>
          <w:tcPr>
            <w:tcW w:w="166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номер Акта об утверждении результатов государственной кадастровой оценки</w:t>
            </w:r>
          </w:p>
        </w:tc>
        <w:tc>
          <w:tcPr>
            <w:tcW w:w="166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дата Акта об утверждении результатов государственной кадастровой оценки</w:t>
            </w:r>
          </w:p>
        </w:tc>
        <w:tc>
          <w:tcPr>
            <w:tcW w:w="166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дата вступления в силу Акта об утверждении результатов государственной кадастровой оценки</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Дата формирования перечней</w:t>
            </w:r>
          </w:p>
        </w:tc>
      </w:tr>
      <w:tr>
        <w:trPr>
          <w:trHeight w:val="288" w:hRule="atLeast"/>
        </w:trPr>
        <w:tc>
          <w:tcPr>
            <w:tcW w:w="2666"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i/>
                <w:i/>
                <w:iCs/>
                <w:color w:val="000000"/>
                <w:sz w:val="18"/>
                <w:szCs w:val="18"/>
              </w:rPr>
            </w:pPr>
            <w:r>
              <w:rPr>
                <w:rFonts w:ascii="Times New Roman" w:hAnsi="Times New Roman"/>
                <w:i/>
                <w:iCs/>
                <w:color w:val="000000"/>
                <w:sz w:val="18"/>
                <w:szCs w:val="18"/>
              </w:rPr>
              <w:t>1</w:t>
            </w:r>
          </w:p>
        </w:tc>
        <w:tc>
          <w:tcPr>
            <w:tcW w:w="166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i/>
                <w:i/>
                <w:iCs/>
                <w:color w:val="000000"/>
                <w:sz w:val="18"/>
                <w:szCs w:val="18"/>
              </w:rPr>
            </w:pPr>
            <w:r>
              <w:rPr>
                <w:rFonts w:ascii="Times New Roman" w:hAnsi="Times New Roman"/>
                <w:i/>
                <w:iCs/>
                <w:color w:val="000000"/>
                <w:sz w:val="18"/>
                <w:szCs w:val="18"/>
              </w:rPr>
              <w:t>2</w:t>
            </w:r>
          </w:p>
        </w:tc>
        <w:tc>
          <w:tcPr>
            <w:tcW w:w="16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i/>
                <w:i/>
                <w:iCs/>
                <w:color w:val="000000"/>
                <w:sz w:val="18"/>
                <w:szCs w:val="18"/>
              </w:rPr>
            </w:pPr>
            <w:r>
              <w:rPr>
                <w:rFonts w:ascii="Times New Roman" w:hAnsi="Times New Roman"/>
                <w:i/>
                <w:iCs/>
                <w:color w:val="000000"/>
                <w:sz w:val="18"/>
                <w:szCs w:val="18"/>
              </w:rPr>
              <w:t>3</w:t>
            </w:r>
          </w:p>
        </w:tc>
        <w:tc>
          <w:tcPr>
            <w:tcW w:w="16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i/>
                <w:i/>
                <w:iCs/>
                <w:color w:val="000000"/>
                <w:sz w:val="18"/>
                <w:szCs w:val="18"/>
              </w:rPr>
            </w:pPr>
            <w:r>
              <w:rPr>
                <w:rFonts w:ascii="Times New Roman" w:hAnsi="Times New Roman"/>
                <w:i/>
                <w:iCs/>
                <w:color w:val="000000"/>
                <w:sz w:val="18"/>
                <w:szCs w:val="18"/>
              </w:rPr>
              <w:t>5</w:t>
            </w:r>
          </w:p>
        </w:tc>
        <w:tc>
          <w:tcPr>
            <w:tcW w:w="1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i/>
                <w:i/>
                <w:iCs/>
                <w:color w:val="000000"/>
                <w:sz w:val="18"/>
                <w:szCs w:val="18"/>
              </w:rPr>
            </w:pPr>
            <w:r>
              <w:rPr>
                <w:rFonts w:ascii="Times New Roman" w:hAnsi="Times New Roman"/>
                <w:i/>
                <w:iCs/>
                <w:color w:val="000000"/>
                <w:sz w:val="18"/>
                <w:szCs w:val="18"/>
              </w:rPr>
              <w:t>6</w:t>
            </w:r>
          </w:p>
        </w:tc>
      </w:tr>
      <w:tr>
        <w:trPr>
          <w:trHeight w:val="288" w:hRule="atLeast"/>
        </w:trPr>
        <w:tc>
          <w:tcPr>
            <w:tcW w:w="2666"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Земли населенных пунктов</w:t>
            </w:r>
          </w:p>
        </w:tc>
        <w:tc>
          <w:tcPr>
            <w:tcW w:w="166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5-п</w:t>
            </w:r>
          </w:p>
        </w:tc>
        <w:tc>
          <w:tcPr>
            <w:tcW w:w="16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14.12.2015</w:t>
            </w:r>
          </w:p>
        </w:tc>
        <w:tc>
          <w:tcPr>
            <w:tcW w:w="16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01.01.2016</w:t>
            </w:r>
          </w:p>
        </w:tc>
        <w:tc>
          <w:tcPr>
            <w:tcW w:w="1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01.02.2015</w:t>
            </w:r>
          </w:p>
        </w:tc>
      </w:tr>
      <w:tr>
        <w:trPr>
          <w:trHeight w:val="288" w:hRule="atLeast"/>
        </w:trPr>
        <w:tc>
          <w:tcPr>
            <w:tcW w:w="2666"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Земли сельскохозяйственного назначения, включая земли садоводческих, огороднических и дачных объединений</w:t>
            </w:r>
          </w:p>
        </w:tc>
        <w:tc>
          <w:tcPr>
            <w:tcW w:w="166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4-п</w:t>
            </w:r>
          </w:p>
        </w:tc>
        <w:tc>
          <w:tcPr>
            <w:tcW w:w="16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07.12.2015</w:t>
            </w:r>
          </w:p>
        </w:tc>
        <w:tc>
          <w:tcPr>
            <w:tcW w:w="16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01.01.2016</w:t>
            </w:r>
          </w:p>
        </w:tc>
        <w:tc>
          <w:tcPr>
            <w:tcW w:w="1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01.02.2015</w:t>
            </w:r>
          </w:p>
        </w:tc>
      </w:tr>
      <w:tr>
        <w:trPr>
          <w:trHeight w:val="300" w:hRule="atLeast"/>
        </w:trPr>
        <w:tc>
          <w:tcPr>
            <w:tcW w:w="2666"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Земли промышленности и иного специального назначения</w:t>
            </w:r>
          </w:p>
        </w:tc>
        <w:tc>
          <w:tcPr>
            <w:tcW w:w="166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4-п</w:t>
            </w:r>
          </w:p>
        </w:tc>
        <w:tc>
          <w:tcPr>
            <w:tcW w:w="16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13.10.2016</w:t>
            </w:r>
          </w:p>
        </w:tc>
        <w:tc>
          <w:tcPr>
            <w:tcW w:w="16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26.10.2016</w:t>
            </w:r>
          </w:p>
        </w:tc>
        <w:tc>
          <w:tcPr>
            <w:tcW w:w="1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01.11.2015</w:t>
            </w:r>
          </w:p>
        </w:tc>
      </w:tr>
      <w:tr>
        <w:trPr>
          <w:trHeight w:val="270" w:hRule="atLeast"/>
        </w:trPr>
        <w:tc>
          <w:tcPr>
            <w:tcW w:w="2666"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Земли особо охраняемых территорий и объектов</w:t>
            </w:r>
          </w:p>
        </w:tc>
        <w:tc>
          <w:tcPr>
            <w:tcW w:w="166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3-п</w:t>
            </w:r>
          </w:p>
        </w:tc>
        <w:tc>
          <w:tcPr>
            <w:tcW w:w="16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05.09.2016</w:t>
            </w:r>
          </w:p>
        </w:tc>
        <w:tc>
          <w:tcPr>
            <w:tcW w:w="16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09.09.2016</w:t>
            </w:r>
          </w:p>
        </w:tc>
        <w:tc>
          <w:tcPr>
            <w:tcW w:w="1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01.11.2015</w:t>
            </w:r>
          </w:p>
        </w:tc>
      </w:tr>
      <w:tr>
        <w:trPr>
          <w:trHeight w:val="300" w:hRule="atLeast"/>
        </w:trPr>
        <w:tc>
          <w:tcPr>
            <w:tcW w:w="2666"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Земли лесного фонда</w:t>
            </w:r>
          </w:p>
        </w:tc>
        <w:tc>
          <w:tcPr>
            <w:tcW w:w="166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433</w:t>
            </w:r>
          </w:p>
        </w:tc>
        <w:tc>
          <w:tcPr>
            <w:tcW w:w="16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31.12.2004</w:t>
            </w:r>
          </w:p>
        </w:tc>
        <w:tc>
          <w:tcPr>
            <w:tcW w:w="16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w:t>
            </w:r>
          </w:p>
        </w:tc>
        <w:tc>
          <w:tcPr>
            <w:tcW w:w="1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01.01.2000</w:t>
            </w:r>
          </w:p>
        </w:tc>
      </w:tr>
      <w:tr>
        <w:trPr>
          <w:trHeight w:val="288" w:hRule="atLeast"/>
        </w:trPr>
        <w:tc>
          <w:tcPr>
            <w:tcW w:w="2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Земли водного фонда</w:t>
            </w:r>
          </w:p>
        </w:tc>
        <w:tc>
          <w:tcPr>
            <w:tcW w:w="166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2-п</w:t>
            </w:r>
          </w:p>
        </w:tc>
        <w:tc>
          <w:tcPr>
            <w:tcW w:w="166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05.07.2016</w:t>
            </w:r>
          </w:p>
        </w:tc>
        <w:tc>
          <w:tcPr>
            <w:tcW w:w="166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08.07.2016</w:t>
            </w:r>
          </w:p>
        </w:tc>
        <w:tc>
          <w:tcPr>
            <w:tcW w:w="170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01.11.2015</w:t>
            </w:r>
          </w:p>
        </w:tc>
      </w:tr>
    </w:tbl>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В соответствии со ст. 24.12 Закона об оценочной деятельности, в редакции действовавшей до 01.01.2017, государственная кадастровая оценка проводится не реже чем один раз в пять лет.</w:t>
      </w:r>
    </w:p>
    <w:p>
      <w:pPr>
        <w:pStyle w:val="Normal"/>
        <w:suppressAutoHyphens w:val="tru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Таким образом, на территории Приморского края необходимо предусмотреть проведение работ по государственной кадастровой оценке земель лесного фонда.</w:t>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 w:cstheme="majorBidi" w:eastAsiaTheme="majorEastAsia" w:ascii="Times New Roman" w:hAnsi="Times New Roman"/>
          <w:b/>
          <w:sz w:val="28"/>
          <w:szCs w:val="28"/>
          <w:lang w:eastAsia="en-US" w:bidi="en-US"/>
        </w:rPr>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 w:ascii="Times New Roman" w:hAnsi="Times New Roman" w:cstheme="majorBidi" w:eastAsiaTheme="majorEastAsia"/>
          <w:b/>
          <w:sz w:val="28"/>
          <w:szCs w:val="28"/>
          <w:lang w:eastAsia="en-US" w:bidi="en-US"/>
        </w:rPr>
        <w:t xml:space="preserve"> </w:t>
      </w:r>
      <w:r>
        <w:rPr>
          <w:rFonts w:eastAsia="" w:cs="" w:ascii="Times New Roman" w:hAnsi="Times New Roman" w:cstheme="majorBidi" w:eastAsiaTheme="majorEastAsia"/>
          <w:b/>
          <w:sz w:val="28"/>
          <w:szCs w:val="28"/>
          <w:lang w:eastAsia="en-US" w:bidi="en-US"/>
        </w:rPr>
        <w:t>Земли сельскохозяйственного назначения</w:t>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 w:cstheme="majorBidi" w:eastAsiaTheme="majorEastAsia" w:ascii="Times New Roman" w:hAnsi="Times New Roman"/>
          <w:b/>
          <w:sz w:val="28"/>
          <w:szCs w:val="28"/>
          <w:lang w:eastAsia="en-US" w:bidi="en-US"/>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Работы по актуализации государственной кадастровой оценки земель сельскохозяйственного назначения в 2016 году не проводились. Данные работы были проведены и окончены в 2015 году на основании приказа департамента земельных и имущественных отношений Приморского края от 16.03.2015 № 77 «О проведении государственной кадастровой оценки земель на территории Приморского края в 2015 году».</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Работы проводились в соответствии с приказом Минэкономразвития России от 4 июля 2005 года № 145 «Об утверждении Методических рекомендаций по государственной кадастровой оценке земель сельскохозяйственного назначения», приказом Минэкономразвития РФ от 20.09.2010 № 445 «Об утверждении методических указаний по государственной кадастровой оценке земель сельскохозяйственного назначения» и иными нормативно-техническими документами и стандартами в сфере оценочной деятельности.</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Указанные Методические рекомендации применялись для определения кадастровой стоимости земельных участков в составе земель сельскохозяйственного назначения, в границах которых расположены земли следующих видов использования:</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 xml:space="preserve"> - земли сельскохозяйственного назначения, пригодные под пашни, сенокосы, пастбища, занятые залежами на дату проведения государственной кадастровой оценки земель, многолетними насаждениями,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а также водными объектами, предназначенными для обеспечения внутрихозяйственной деятельности;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земли сельскохозяйственного назначения, малопригодные под пашню, но используемые для выращивания некоторых видов технических культур, многолетних насаждений, ягодников, чая, винограда, риса;</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lang w:val="en-US"/>
        </w:rPr>
        <w:t>III</w:t>
      </w:r>
      <w:r>
        <w:rPr>
          <w:rFonts w:ascii="Times New Roman" w:hAnsi="Times New Roman"/>
          <w:sz w:val="28"/>
          <w:szCs w:val="28"/>
        </w:rPr>
        <w:t xml:space="preserve"> - земли сельскохозяйственного назначения, занятые зданиями, строениями, сооружениями, используемыми для производства, хранения и первичной переработки сельскохозяйственной продукции.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lang w:val="en-US"/>
        </w:rPr>
        <w:t>IV</w:t>
      </w:r>
      <w:r>
        <w:rPr>
          <w:rFonts w:ascii="Times New Roman" w:hAnsi="Times New Roman"/>
          <w:sz w:val="28"/>
          <w:szCs w:val="28"/>
        </w:rPr>
        <w:t xml:space="preserve"> - земли сельскохозяйственного назначения, занятые водными объектами и используемые для предпринимательской деятельности.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lang w:val="en-US"/>
        </w:rPr>
        <w:t>V</w:t>
      </w:r>
      <w:r>
        <w:rPr>
          <w:rFonts w:ascii="Times New Roman" w:hAnsi="Times New Roman"/>
          <w:sz w:val="28"/>
          <w:szCs w:val="28"/>
        </w:rPr>
        <w:t xml:space="preserve"> - земли сельскохозяйственного назначения, на которых располагаются леса.</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lang w:val="en-US"/>
        </w:rPr>
        <w:t>VI</w:t>
      </w:r>
      <w:r>
        <w:rPr>
          <w:rFonts w:ascii="Times New Roman" w:hAnsi="Times New Roman"/>
          <w:sz w:val="28"/>
          <w:szCs w:val="28"/>
        </w:rPr>
        <w:t xml:space="preserve"> - прочие земли сельскохозяйственного назначения, в том числе болота, нарушенные земли, земли, занятые полигонами, свалками, оврагами, песками.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Методические указания не применяются для государственной кадастровой оценки земельных участков в составе земель сельскохозяйственного назначения в границах садоводческих, огороднических и дачных объединений.</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Государственная кадастровая оценка земель сельскохозяйственного назначения осуществляется в следующем порядке:</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формирование Перечня земельных участков в составе земель сельскохозяйственного назначения;</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определение удельных показателей кадастровой стоимости земель сельскохозяйственного назначения;</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расчет кадастровой стоимости земельных участков в составе земель сельскохозяйственного назначения.</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Перечень земельных участков был сформирован филиалом ФГБУ «ФКП Росреестра» по Приморскому краю в соответствии с приказом Минэкономразвития России от 01.11.2013 № 648 «Об утверждении Порядка формирования и предоставления перечня объектов недвижимости, подлежащих государственной кадастровой оценке» и передан заказчику работ – департаменту земельных и имущественных отношений Приморского края.</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В соответствии со ст. 24.15 Закона об оценочной деятельности датой определения кадастровой стоимости объектов недвижимости в рамках проведения государственной кадастровой оценки является дата, по состоянию на которую сформирован перечень.</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Перечень земельных участков в составе земель сельскохозяйственного назначения был сформирован по состоянию на 01.02.2015.</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В перечень объектов оценки было включено 42997 земельных участков, учтенных в государственном кадастре недвижимости. Датой определения кадастровой стоимости является 01 февраля 2015 года.</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Согласно Методическим указаниям все земельные участки, содержащиеся в Перечне, были распределены исполнителем работ по группам использования.</w:t>
      </w:r>
    </w:p>
    <w:tbl>
      <w:tblPr>
        <w:tblW w:w="9322"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5"/>
        <w:gridCol w:w="4536"/>
      </w:tblGrid>
      <w:tr>
        <w:trPr>
          <w:trHeight w:val="57" w:hRule="atLeast"/>
        </w:trPr>
        <w:tc>
          <w:tcPr>
            <w:tcW w:w="4785" w:type="dxa"/>
            <w:tcBorders>
              <w:top w:val="single" w:sz="8" w:space="0" w:color="4F81BD"/>
              <w:left w:val="single" w:sz="8" w:space="0" w:color="4F81BD"/>
              <w:bottom w:val="single" w:sz="18" w:space="0" w:color="4F81BD"/>
              <w:right w:val="single" w:sz="8" w:space="0" w:color="4F81BD"/>
            </w:tcBorders>
            <w:shd w:color="auto" w:fill="auto" w:val="clear"/>
            <w:vAlign w:val="center"/>
          </w:tcPr>
          <w:p>
            <w:pPr>
              <w:pStyle w:val="Normal"/>
              <w:widowControl w:val="false"/>
              <w:spacing w:lineRule="auto" w:line="240" w:before="0" w:after="0"/>
              <w:ind w:firstLine="567"/>
              <w:jc w:val="center"/>
              <w:rPr>
                <w:rFonts w:ascii="Times New Roman" w:hAnsi="Times New Roman"/>
                <w:bCs/>
                <w:sz w:val="24"/>
                <w:szCs w:val="24"/>
              </w:rPr>
            </w:pPr>
            <w:r>
              <w:rPr>
                <w:rFonts w:ascii="Times New Roman" w:hAnsi="Times New Roman"/>
                <w:bCs/>
                <w:sz w:val="24"/>
                <w:szCs w:val="24"/>
              </w:rPr>
              <w:t>Номер группы в соответствии с методическими указаниями</w:t>
            </w:r>
          </w:p>
        </w:tc>
        <w:tc>
          <w:tcPr>
            <w:tcW w:w="4536" w:type="dxa"/>
            <w:tcBorders>
              <w:top w:val="single" w:sz="8" w:space="0" w:color="4F81BD"/>
              <w:left w:val="single" w:sz="8" w:space="0" w:color="4F81BD"/>
              <w:bottom w:val="single" w:sz="18" w:space="0" w:color="4F81BD"/>
              <w:right w:val="single" w:sz="8" w:space="0" w:color="4F81BD"/>
            </w:tcBorders>
            <w:shd w:color="auto" w:fill="auto" w:val="clear"/>
            <w:vAlign w:val="center"/>
          </w:tcPr>
          <w:p>
            <w:pPr>
              <w:pStyle w:val="Normal"/>
              <w:widowControl w:val="false"/>
              <w:spacing w:lineRule="auto" w:line="240" w:before="0" w:after="0"/>
              <w:ind w:firstLine="567"/>
              <w:jc w:val="center"/>
              <w:rPr>
                <w:rFonts w:ascii="Times New Roman" w:hAnsi="Times New Roman"/>
                <w:bCs/>
                <w:sz w:val="24"/>
                <w:szCs w:val="24"/>
              </w:rPr>
            </w:pPr>
            <w:r>
              <w:rPr>
                <w:rFonts w:ascii="Times New Roman" w:hAnsi="Times New Roman"/>
                <w:bCs/>
                <w:sz w:val="24"/>
                <w:szCs w:val="24"/>
              </w:rPr>
              <w:t>Количество земельных участков в группе</w:t>
            </w:r>
          </w:p>
        </w:tc>
      </w:tr>
      <w:tr>
        <w:trPr>
          <w:trHeight w:val="57" w:hRule="atLeast"/>
        </w:trPr>
        <w:tc>
          <w:tcPr>
            <w:tcW w:w="4785"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ind w:firstLine="567"/>
              <w:jc w:val="center"/>
              <w:rPr>
                <w:rFonts w:ascii="Times New Roman" w:hAnsi="Times New Roman"/>
                <w:bCs/>
                <w:sz w:val="24"/>
                <w:szCs w:val="24"/>
                <w:lang w:val="en-US"/>
              </w:rPr>
            </w:pPr>
            <w:r>
              <w:rPr>
                <w:rFonts w:ascii="Times New Roman" w:hAnsi="Times New Roman"/>
                <w:bCs/>
                <w:sz w:val="24"/>
                <w:szCs w:val="24"/>
              </w:rPr>
              <w:t>I</w:t>
            </w:r>
          </w:p>
        </w:tc>
        <w:tc>
          <w:tcPr>
            <w:tcW w:w="4536"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firstLine="567"/>
              <w:jc w:val="center"/>
              <w:rPr>
                <w:rFonts w:ascii="Times New Roman" w:hAnsi="Times New Roman"/>
                <w:sz w:val="24"/>
                <w:szCs w:val="24"/>
              </w:rPr>
            </w:pPr>
            <w:r>
              <w:rPr>
                <w:rFonts w:ascii="Times New Roman" w:hAnsi="Times New Roman"/>
                <w:sz w:val="24"/>
                <w:szCs w:val="24"/>
              </w:rPr>
              <w:t>33 712</w:t>
            </w:r>
          </w:p>
        </w:tc>
      </w:tr>
      <w:tr>
        <w:trPr>
          <w:trHeight w:val="57" w:hRule="atLeast"/>
        </w:trPr>
        <w:tc>
          <w:tcPr>
            <w:tcW w:w="4785"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ind w:firstLine="567"/>
              <w:jc w:val="center"/>
              <w:rPr>
                <w:rFonts w:ascii="Times New Roman" w:hAnsi="Times New Roman"/>
                <w:bCs/>
                <w:sz w:val="24"/>
                <w:szCs w:val="24"/>
                <w:lang w:val="en-US"/>
              </w:rPr>
            </w:pPr>
            <w:r>
              <w:rPr>
                <w:rFonts w:ascii="Times New Roman" w:hAnsi="Times New Roman"/>
                <w:bCs/>
                <w:sz w:val="24"/>
                <w:szCs w:val="24"/>
                <w:lang w:val="en-US"/>
              </w:rPr>
              <w:t>II</w:t>
            </w:r>
          </w:p>
        </w:tc>
        <w:tc>
          <w:tcPr>
            <w:tcW w:w="4536"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firstLine="567"/>
              <w:jc w:val="center"/>
              <w:rPr>
                <w:rFonts w:ascii="Times New Roman" w:hAnsi="Times New Roman"/>
                <w:sz w:val="24"/>
                <w:szCs w:val="24"/>
              </w:rPr>
            </w:pPr>
            <w:r>
              <w:rPr>
                <w:rFonts w:ascii="Times New Roman" w:hAnsi="Times New Roman"/>
                <w:sz w:val="24"/>
                <w:szCs w:val="24"/>
              </w:rPr>
              <w:t>81</w:t>
            </w:r>
          </w:p>
        </w:tc>
      </w:tr>
      <w:tr>
        <w:trPr>
          <w:trHeight w:val="57" w:hRule="atLeast"/>
        </w:trPr>
        <w:tc>
          <w:tcPr>
            <w:tcW w:w="4785"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ind w:firstLine="567"/>
              <w:jc w:val="center"/>
              <w:rPr>
                <w:rFonts w:ascii="Times New Roman" w:hAnsi="Times New Roman"/>
                <w:bCs/>
                <w:sz w:val="24"/>
                <w:szCs w:val="24"/>
                <w:lang w:val="en-US"/>
              </w:rPr>
            </w:pPr>
            <w:r>
              <w:rPr>
                <w:rFonts w:ascii="Times New Roman" w:hAnsi="Times New Roman"/>
                <w:bCs/>
                <w:sz w:val="24"/>
                <w:szCs w:val="24"/>
                <w:lang w:val="en-US"/>
              </w:rPr>
              <w:t>III</w:t>
            </w:r>
          </w:p>
        </w:tc>
        <w:tc>
          <w:tcPr>
            <w:tcW w:w="4536"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firstLine="567"/>
              <w:jc w:val="center"/>
              <w:rPr>
                <w:rFonts w:ascii="Times New Roman" w:hAnsi="Times New Roman"/>
                <w:sz w:val="24"/>
                <w:szCs w:val="24"/>
              </w:rPr>
            </w:pPr>
            <w:r>
              <w:rPr>
                <w:rFonts w:ascii="Times New Roman" w:hAnsi="Times New Roman"/>
                <w:sz w:val="24"/>
                <w:szCs w:val="24"/>
              </w:rPr>
              <w:t>569</w:t>
            </w:r>
          </w:p>
        </w:tc>
      </w:tr>
      <w:tr>
        <w:trPr>
          <w:trHeight w:val="57" w:hRule="atLeast"/>
        </w:trPr>
        <w:tc>
          <w:tcPr>
            <w:tcW w:w="4785"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ind w:firstLine="567"/>
              <w:jc w:val="center"/>
              <w:rPr>
                <w:rFonts w:ascii="Times New Roman" w:hAnsi="Times New Roman"/>
                <w:bCs/>
                <w:sz w:val="24"/>
                <w:szCs w:val="24"/>
                <w:lang w:val="en-US"/>
              </w:rPr>
            </w:pPr>
            <w:r>
              <w:rPr>
                <w:rFonts w:ascii="Times New Roman" w:hAnsi="Times New Roman"/>
                <w:bCs/>
                <w:sz w:val="24"/>
                <w:szCs w:val="24"/>
                <w:lang w:val="en-US"/>
              </w:rPr>
              <w:t>IV</w:t>
            </w:r>
          </w:p>
        </w:tc>
        <w:tc>
          <w:tcPr>
            <w:tcW w:w="4536"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firstLine="567"/>
              <w:jc w:val="center"/>
              <w:rPr>
                <w:rFonts w:ascii="Times New Roman" w:hAnsi="Times New Roman"/>
                <w:sz w:val="24"/>
                <w:szCs w:val="24"/>
              </w:rPr>
            </w:pPr>
            <w:r>
              <w:rPr>
                <w:rFonts w:ascii="Times New Roman" w:hAnsi="Times New Roman"/>
                <w:sz w:val="24"/>
                <w:szCs w:val="24"/>
              </w:rPr>
              <w:t>52</w:t>
            </w:r>
          </w:p>
        </w:tc>
      </w:tr>
      <w:tr>
        <w:trPr>
          <w:trHeight w:val="57" w:hRule="atLeast"/>
        </w:trPr>
        <w:tc>
          <w:tcPr>
            <w:tcW w:w="4785"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ind w:firstLine="567"/>
              <w:jc w:val="center"/>
              <w:rPr>
                <w:rFonts w:ascii="Times New Roman" w:hAnsi="Times New Roman"/>
                <w:bCs/>
                <w:sz w:val="24"/>
                <w:szCs w:val="24"/>
                <w:lang w:val="en-US"/>
              </w:rPr>
            </w:pPr>
            <w:r>
              <w:rPr>
                <w:rFonts w:ascii="Times New Roman" w:hAnsi="Times New Roman"/>
                <w:bCs/>
                <w:sz w:val="24"/>
                <w:szCs w:val="24"/>
                <w:lang w:val="en-US"/>
              </w:rPr>
              <w:t>V</w:t>
            </w:r>
          </w:p>
        </w:tc>
        <w:tc>
          <w:tcPr>
            <w:tcW w:w="4536"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firstLine="567"/>
              <w:jc w:val="center"/>
              <w:rPr>
                <w:rFonts w:ascii="Times New Roman" w:hAnsi="Times New Roman"/>
                <w:sz w:val="24"/>
                <w:szCs w:val="24"/>
              </w:rPr>
            </w:pPr>
            <w:r>
              <w:rPr>
                <w:rFonts w:ascii="Times New Roman" w:hAnsi="Times New Roman"/>
                <w:sz w:val="24"/>
                <w:szCs w:val="24"/>
              </w:rPr>
              <w:t>12</w:t>
            </w:r>
          </w:p>
        </w:tc>
      </w:tr>
      <w:tr>
        <w:trPr>
          <w:trHeight w:val="57" w:hRule="atLeast"/>
        </w:trPr>
        <w:tc>
          <w:tcPr>
            <w:tcW w:w="4785"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ind w:firstLine="567"/>
              <w:jc w:val="center"/>
              <w:rPr>
                <w:rFonts w:ascii="Times New Roman" w:hAnsi="Times New Roman"/>
                <w:bCs/>
                <w:sz w:val="24"/>
                <w:szCs w:val="24"/>
                <w:lang w:val="en-US"/>
              </w:rPr>
            </w:pPr>
            <w:r>
              <w:rPr>
                <w:rFonts w:ascii="Times New Roman" w:hAnsi="Times New Roman"/>
                <w:bCs/>
                <w:sz w:val="24"/>
                <w:szCs w:val="24"/>
                <w:lang w:val="en-US"/>
              </w:rPr>
              <w:t>VI</w:t>
            </w:r>
          </w:p>
        </w:tc>
        <w:tc>
          <w:tcPr>
            <w:tcW w:w="4536"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firstLine="567"/>
              <w:jc w:val="center"/>
              <w:rPr>
                <w:rFonts w:ascii="Times New Roman" w:hAnsi="Times New Roman"/>
                <w:sz w:val="24"/>
                <w:szCs w:val="24"/>
              </w:rPr>
            </w:pPr>
            <w:r>
              <w:rPr>
                <w:rFonts w:ascii="Times New Roman" w:hAnsi="Times New Roman"/>
                <w:sz w:val="24"/>
                <w:szCs w:val="24"/>
              </w:rPr>
              <w:t>8 571</w:t>
            </w:r>
          </w:p>
        </w:tc>
      </w:tr>
    </w:tbl>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После проведения группировки объектов оценки в каждой группе, согласно Методическим указаниям, определялись удельные показатели кадастровой стоимости земельных участков.</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xml:space="preserve">В соответствии с Методическими указаниями определение удельных показателей кадастровой стоимости земель первой группы проводится по почвенным разновидностям. Алгоритм определения кадастровой стоимости по почвенным разновидностям описан далее. </w:t>
      </w:r>
    </w:p>
    <w:p>
      <w:pPr>
        <w:pStyle w:val="Normal"/>
        <w:spacing w:lineRule="auto" w:line="240" w:before="0" w:after="0"/>
        <w:ind w:firstLine="567"/>
        <w:rPr>
          <w:rFonts w:ascii="Times New Roman" w:hAnsi="Times New Roman"/>
          <w:sz w:val="28"/>
          <w:szCs w:val="28"/>
        </w:rPr>
      </w:pPr>
      <w:r>
        <w:rPr>
          <w:rFonts w:ascii="Times New Roman" w:hAnsi="Times New Roman"/>
          <w:sz w:val="28"/>
          <w:szCs w:val="28"/>
        </w:rPr>
        <w:t>Определение перечня почвенных разновидностей:</w:t>
      </w:r>
    </w:p>
    <w:p>
      <w:pPr>
        <w:pStyle w:val="Normal"/>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1) сбор исходной почвенно-климатической информации по территории, на которой расположен земельный участок;</w:t>
      </w:r>
    </w:p>
    <w:p>
      <w:pPr>
        <w:pStyle w:val="Normal"/>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2) определение состава почвенных разновидностей на основе материалов крупномасштабных почвенных обследований землепользований, имеющихся в государственном фонде данных, полученных в результате проведения землеустройства;</w:t>
      </w:r>
    </w:p>
    <w:p>
      <w:pPr>
        <w:pStyle w:val="Normal"/>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3) установление состава и определение площади почвенных разновидностей в разрезе земельных участков, включенных в состав перечня на основе почвенных карт и дежурной кадастровой карты. При отсутствии почвенных карт на конкретный земельный участок, входящий в перечень, используется структура почвенных разновидностей землепользования с имеющимися материалами почвенного обследования района, в границах которого располагается объект оценки, при отсутствии почвенных материалов по бывшему хозяйству используется структура почвенных разновидностей по административному (кадастровому) району, а при отсутствии почвенных материалов по административному (кадастровому) району - по Приморскому краю;</w:t>
      </w:r>
    </w:p>
    <w:p>
      <w:pPr>
        <w:pStyle w:val="Normal"/>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4) установление характеристик почвенных разновидностей, (тип-подтип почвы, содержание гумуса, содержание физической глины, негативные свойства почв и т.п.);</w:t>
      </w:r>
    </w:p>
    <w:p>
      <w:pPr>
        <w:pStyle w:val="Normal"/>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5) определение показателя агроклиматического потенциала агроклиматической подзоны, в пределах которой расположен земельный участок.</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Определение сельскохозяйственных культур в составе севооборота (далее - перечень оценочных культур), пригодных к выращиванию на земельном участке по почвенно-климатическим условиям в разрезе почвенных разновидностей, выполнялся в следующей последовательности.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xml:space="preserve">На первом этапе был выполнен выбор перечня базовых оценочных культур для каждой почвенной разновидности по соответствию показателей климата территории агроклиматическим параметрам, определяющим ареал возможного выращивания сельскохозяйственных культур. </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На втором этапе для каждого земельного участка определялись виды культур с учетом условий рельефа (равнина, склоны) и ландшафтными условиями (водораздел, пойма).</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xml:space="preserve">На третьем этапе выполнялся отбор оставшихся оценочных культур по степени доходности. </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Удельные показатели кадастровой стоимости земель второй группы принимались равными удельным показателям рыночной стоимости этих земель, определенной в соответствии с законодательством РФ об оценочной деятельности.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Определение удельных показателей кадастровой стоимости земельных участков третьей группы предполагает следующую последовательность действий:</w:t>
      </w:r>
    </w:p>
    <w:p>
      <w:pPr>
        <w:pStyle w:val="Normal"/>
        <w:numPr>
          <w:ilvl w:val="0"/>
          <w:numId w:val="6"/>
        </w:numPr>
        <w:spacing w:lineRule="auto" w:line="240" w:before="0" w:after="0"/>
        <w:ind w:left="0" w:firstLine="567"/>
        <w:jc w:val="both"/>
        <w:rPr>
          <w:rFonts w:ascii="Times New Roman" w:hAnsi="Times New Roman"/>
          <w:sz w:val="28"/>
          <w:szCs w:val="28"/>
        </w:rPr>
      </w:pPr>
      <w:r>
        <w:rPr>
          <w:rFonts w:ascii="Times New Roman" w:hAnsi="Times New Roman"/>
          <w:sz w:val="28"/>
          <w:szCs w:val="28"/>
        </w:rPr>
        <w:t>группировка земельных участков, в границах которых расположены эти земли;</w:t>
      </w:r>
    </w:p>
    <w:p>
      <w:pPr>
        <w:pStyle w:val="Normal"/>
        <w:numPr>
          <w:ilvl w:val="0"/>
          <w:numId w:val="6"/>
        </w:numPr>
        <w:spacing w:lineRule="auto" w:line="240" w:before="0" w:after="0"/>
        <w:ind w:left="0" w:firstLine="567"/>
        <w:jc w:val="both"/>
        <w:rPr>
          <w:rFonts w:ascii="Times New Roman" w:hAnsi="Times New Roman"/>
          <w:sz w:val="28"/>
          <w:szCs w:val="28"/>
        </w:rPr>
      </w:pPr>
      <w:r>
        <w:rPr>
          <w:rFonts w:ascii="Times New Roman" w:hAnsi="Times New Roman"/>
          <w:sz w:val="28"/>
          <w:szCs w:val="28"/>
        </w:rPr>
        <w:t>определение эталонного земельного участка в составе каждой группы;</w:t>
      </w:r>
    </w:p>
    <w:p>
      <w:pPr>
        <w:pStyle w:val="Normal"/>
        <w:widowControl w:val="false"/>
        <w:numPr>
          <w:ilvl w:val="0"/>
          <w:numId w:val="6"/>
        </w:numPr>
        <w:spacing w:lineRule="auto" w:line="240" w:before="0" w:after="0"/>
        <w:ind w:left="0" w:firstLine="567"/>
        <w:jc w:val="both"/>
        <w:rPr>
          <w:rFonts w:ascii="Times New Roman" w:hAnsi="Times New Roman" w:eastAsia="Calibri" w:cs="Times New Roman"/>
          <w:sz w:val="28"/>
          <w:szCs w:val="28"/>
        </w:rPr>
      </w:pPr>
      <w:r>
        <w:rPr>
          <w:rFonts w:eastAsia="Times New Roman" w:cs="Times New Roman" w:ascii="Times New Roman" w:hAnsi="Times New Roman"/>
          <w:sz w:val="28"/>
          <w:szCs w:val="28"/>
        </w:rPr>
        <w:t xml:space="preserve">определение рыночной стоимости земель, </w:t>
      </w:r>
      <w:r>
        <w:rPr>
          <w:rFonts w:eastAsia="Calibri" w:cs="Times New Roman" w:ascii="Times New Roman" w:hAnsi="Times New Roman"/>
          <w:sz w:val="28"/>
          <w:szCs w:val="28"/>
        </w:rPr>
        <w:t xml:space="preserve">занятых зданиями, строениями, сооружениями, используемыми для производства, хранения и первичной переработки сельскохозяйственной продукции, </w:t>
      </w:r>
      <w:r>
        <w:rPr>
          <w:rFonts w:eastAsia="Times New Roman" w:cs="Times New Roman" w:ascii="Times New Roman" w:hAnsi="Times New Roman"/>
          <w:sz w:val="28"/>
          <w:szCs w:val="28"/>
        </w:rPr>
        <w:t>в составе эталонного земельного участка;</w:t>
      </w:r>
    </w:p>
    <w:p>
      <w:pPr>
        <w:pStyle w:val="Normal"/>
        <w:numPr>
          <w:ilvl w:val="0"/>
          <w:numId w:val="6"/>
        </w:numPr>
        <w:spacing w:lineRule="auto" w:line="240" w:before="0" w:after="0"/>
        <w:ind w:left="0" w:firstLine="567"/>
        <w:jc w:val="both"/>
        <w:rPr>
          <w:rFonts w:ascii="Times New Roman" w:hAnsi="Times New Roman"/>
          <w:sz w:val="28"/>
          <w:szCs w:val="28"/>
        </w:rPr>
      </w:pPr>
      <w:r>
        <w:rPr>
          <w:rFonts w:ascii="Times New Roman" w:hAnsi="Times New Roman"/>
          <w:sz w:val="28"/>
          <w:szCs w:val="28"/>
        </w:rPr>
        <w:t>расчет удельных показателей кадастровой стоимости этих земель.</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Удельные показатели кадастровой стоимости земель четвертой группы, в соответствии с Методическими указаниями, принимались равными удельным показателям рыночной стоимости данных земель.</w:t>
      </w:r>
    </w:p>
    <w:p>
      <w:pPr>
        <w:pStyle w:val="Normal"/>
        <w:shd w:val="clear" w:color="auto" w:fill="FFFFFF"/>
        <w:spacing w:lineRule="auto" w:line="240" w:before="0" w:after="0"/>
        <w:ind w:firstLine="567"/>
        <w:jc w:val="both"/>
        <w:rPr>
          <w:rFonts w:ascii="Times New Roman" w:hAnsi="Times New Roman"/>
          <w:bCs/>
          <w:sz w:val="28"/>
          <w:szCs w:val="28"/>
        </w:rPr>
      </w:pPr>
      <w:r>
        <w:rPr>
          <w:rFonts w:ascii="Times New Roman" w:hAnsi="Times New Roman"/>
          <w:sz w:val="28"/>
          <w:szCs w:val="28"/>
        </w:rPr>
        <w:t>Удельные показатели кадастровой стоимости земель пятой группы, в соответствии с Методическими указаниями, устанавливаются в размере среднего для субъекта РФ значения удельного показателя кадастровой стоимости земель лесного фонда.</w:t>
      </w:r>
      <w:r>
        <w:rPr>
          <w:rFonts w:ascii="Times New Roman" w:hAnsi="Times New Roman"/>
          <w:bCs/>
          <w:sz w:val="28"/>
          <w:szCs w:val="28"/>
        </w:rPr>
        <w:t xml:space="preserve"> </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Удельные показатели кадастровой стоимости земель шестой группы, в соответствии с Методическими указаниями, устанавливаются в размере минимального для субъекта РФ значения удельного показателя кадастровой стоимости земель I группы.</w:t>
      </w:r>
      <w:r>
        <w:rPr>
          <w:rFonts w:ascii="Times New Roman" w:hAnsi="Times New Roman"/>
          <w:bCs/>
          <w:sz w:val="28"/>
          <w:szCs w:val="28"/>
        </w:rPr>
        <w:t xml:space="preserve"> </w:t>
      </w:r>
    </w:p>
    <w:p>
      <w:pPr>
        <w:pStyle w:val="Normal"/>
        <w:shd w:val="clear" w:color="auto" w:fill="FFFFFF"/>
        <w:spacing w:lineRule="auto" w:line="240" w:before="0" w:after="0"/>
        <w:ind w:firstLine="567"/>
        <w:jc w:val="both"/>
        <w:rPr>
          <w:rFonts w:ascii="Times New Roman" w:hAnsi="Times New Roman"/>
          <w:bCs/>
          <w:sz w:val="28"/>
          <w:szCs w:val="28"/>
        </w:rPr>
      </w:pPr>
      <w:r>
        <w:rPr>
          <w:rFonts w:ascii="Times New Roman" w:hAnsi="Times New Roman"/>
          <w:sz w:val="28"/>
          <w:szCs w:val="28"/>
        </w:rPr>
        <w:t>Минимальное значение удельного показателя кадастровой стоимости земель первой группы в Приморском крае составило 0,84 руб./кв.м.</w:t>
      </w:r>
    </w:p>
    <w:p>
      <w:pPr>
        <w:pStyle w:val="Normal"/>
        <w:shd w:val="clear" w:color="auto" w:fill="FFFFFF"/>
        <w:spacing w:lineRule="auto" w:line="240" w:before="0" w:after="0"/>
        <w:ind w:firstLine="567"/>
        <w:jc w:val="both"/>
        <w:rPr>
          <w:rFonts w:ascii="Times New Roman" w:hAnsi="Times New Roman"/>
          <w:bCs/>
          <w:sz w:val="28"/>
          <w:szCs w:val="28"/>
        </w:rPr>
      </w:pPr>
      <w:r>
        <w:rPr>
          <w:rFonts w:ascii="Times New Roman" w:hAnsi="Times New Roman"/>
          <w:bCs/>
          <w:sz w:val="28"/>
          <w:szCs w:val="28"/>
        </w:rPr>
        <w:t>Кадастровая стоимость земельных участков в составе земель сельскохозяйственного назначения устанавливалась равной произведению значения удельного показателя кадастровой стоимости на площадь земельных участков в составе земель сельскохозяйственного назначения.</w:t>
      </w:r>
    </w:p>
    <w:p>
      <w:pPr>
        <w:pStyle w:val="Normal"/>
        <w:shd w:val="clear" w:color="auto" w:fill="FFFFFF"/>
        <w:spacing w:lineRule="auto" w:line="240" w:before="0" w:after="0"/>
        <w:ind w:firstLine="567"/>
        <w:jc w:val="both"/>
        <w:rPr>
          <w:sz w:val="28"/>
          <w:szCs w:val="28"/>
        </w:rPr>
      </w:pPr>
      <w:r>
        <w:rPr>
          <w:rFonts w:ascii="Times New Roman" w:hAnsi="Times New Roman"/>
          <w:sz w:val="28"/>
          <w:szCs w:val="28"/>
        </w:rPr>
        <w:t>Удельные показатели кадастровой стоимости земель сельскохозяйственного назначения на территории Приморского края представлены в таблице 20.</w:t>
      </w:r>
      <w:r>
        <w:rPr>
          <w:sz w:val="28"/>
          <w:szCs w:val="28"/>
        </w:rPr>
        <w:t xml:space="preserve"> </w:t>
      </w:r>
    </w:p>
    <w:p>
      <w:pPr>
        <w:pStyle w:val="Normal"/>
        <w:spacing w:lineRule="auto" w:line="240" w:before="0" w:after="0"/>
        <w:ind w:right="282" w:firstLine="567"/>
        <w:jc w:val="right"/>
        <w:rPr>
          <w:rFonts w:ascii="Times New Roman" w:hAnsi="Times New Roman"/>
          <w:sz w:val="24"/>
          <w:szCs w:val="24"/>
        </w:rPr>
      </w:pPr>
      <w:r>
        <w:rPr>
          <w:rFonts w:ascii="Times New Roman" w:hAnsi="Times New Roman"/>
          <w:sz w:val="24"/>
          <w:szCs w:val="24"/>
        </w:rPr>
        <w:t>Таблица 20</w:t>
      </w:r>
    </w:p>
    <w:tbl>
      <w:tblPr>
        <w:tblW w:w="9565" w:type="dxa"/>
        <w:jc w:val="right"/>
        <w:tblInd w:w="0" w:type="dxa"/>
        <w:tblLayout w:type="fixed"/>
        <w:tblCellMar>
          <w:top w:w="0" w:type="dxa"/>
          <w:left w:w="108" w:type="dxa"/>
          <w:bottom w:w="0" w:type="dxa"/>
          <w:right w:w="108" w:type="dxa"/>
        </w:tblCellMar>
        <w:tblLook w:val="04a0" w:noHBand="0" w:noVBand="1" w:firstColumn="1" w:lastRow="0" w:lastColumn="0" w:firstRow="1"/>
      </w:tblPr>
      <w:tblGrid>
        <w:gridCol w:w="567"/>
        <w:gridCol w:w="2552"/>
        <w:gridCol w:w="2227"/>
        <w:gridCol w:w="678"/>
        <w:gridCol w:w="756"/>
        <w:gridCol w:w="757"/>
        <w:gridCol w:w="755"/>
        <w:gridCol w:w="636"/>
        <w:gridCol w:w="636"/>
      </w:tblGrid>
      <w:tr>
        <w:trPr>
          <w:tblHeader w:val="true"/>
          <w:trHeight w:val="360" w:hRule="atLeast"/>
        </w:trPr>
        <w:tc>
          <w:tcPr>
            <w:tcW w:w="56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 xml:space="preserve">№ </w:t>
            </w:r>
            <w:r>
              <w:rPr>
                <w:rFonts w:eastAsia="Times New Roman" w:ascii="Times New Roman" w:hAnsi="Times New Roman"/>
                <w:bCs/>
                <w:color w:val="000000"/>
                <w:sz w:val="24"/>
                <w:szCs w:val="24"/>
              </w:rPr>
              <w:t>п/п</w:t>
            </w:r>
          </w:p>
        </w:tc>
        <w:tc>
          <w:tcPr>
            <w:tcW w:w="255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color w:val="000000"/>
                <w:sz w:val="24"/>
                <w:szCs w:val="24"/>
              </w:rPr>
            </w:pPr>
            <w:r>
              <w:rPr>
                <w:rFonts w:ascii="Times New Roman" w:hAnsi="Times New Roman"/>
                <w:sz w:val="24"/>
                <w:szCs w:val="24"/>
              </w:rPr>
              <w:t xml:space="preserve">Наименование </w:t>
              <w:br/>
              <w:t xml:space="preserve">муниципального </w:t>
              <w:br/>
              <w:t xml:space="preserve">образования </w:t>
              <w:br/>
              <w:t>Приморского края*</w:t>
            </w:r>
          </w:p>
        </w:tc>
        <w:tc>
          <w:tcPr>
            <w:tcW w:w="222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jc w:val="center"/>
              <w:rPr>
                <w:rFonts w:ascii="Times New Roman" w:hAnsi="Times New Roman" w:eastAsia="Times New Roman"/>
                <w:b/>
                <w:b/>
                <w:bCs/>
                <w:color w:val="000000"/>
                <w:sz w:val="24"/>
                <w:szCs w:val="24"/>
              </w:rPr>
            </w:pPr>
            <w:r>
              <w:rPr>
                <w:rFonts w:ascii="Times New Roman" w:hAnsi="Times New Roman"/>
                <w:sz w:val="24"/>
                <w:szCs w:val="24"/>
              </w:rPr>
              <w:t>Значение удельного показателя кадастровой стоимости земель, руб./кв. м</w:t>
            </w:r>
            <w:r>
              <w:rPr>
                <w:rFonts w:eastAsia="Times New Roman" w:ascii="Times New Roman" w:hAnsi="Times New Roman"/>
                <w:b/>
                <w:bCs/>
                <w:color w:val="000000"/>
                <w:sz w:val="24"/>
                <w:szCs w:val="24"/>
              </w:rPr>
              <w:t>.</w:t>
            </w:r>
          </w:p>
        </w:tc>
        <w:tc>
          <w:tcPr>
            <w:tcW w:w="4218" w:type="dxa"/>
            <w:gridSpan w:val="6"/>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Номер группы</w:t>
            </w:r>
          </w:p>
        </w:tc>
      </w:tr>
      <w:tr>
        <w:trPr>
          <w:tblHeader w:val="true"/>
          <w:trHeight w:val="70" w:hRule="atLeast"/>
        </w:trPr>
        <w:tc>
          <w:tcPr>
            <w:tcW w:w="567" w:type="dxa"/>
            <w:vMerge w:val="continue"/>
            <w:tcBorders>
              <w:left w:val="single" w:sz="4" w:space="0" w:color="000000"/>
              <w:bottom w:val="single" w:sz="4" w:space="0" w:color="000000"/>
              <w:right w:val="single" w:sz="4" w:space="0" w:color="000000"/>
            </w:tcBorders>
          </w:tcPr>
          <w:p>
            <w:pPr>
              <w:pStyle w:val="Normal"/>
              <w:widowControl w:val="false"/>
              <w:spacing w:lineRule="auto" w:line="240" w:before="0" w:after="0"/>
              <w:ind w:left="269" w:hanging="62"/>
              <w:rPr>
                <w:rFonts w:ascii="Times New Roman" w:hAnsi="Times New Roman" w:eastAsia="Times New Roman"/>
                <w:b/>
                <w:b/>
                <w:bCs/>
                <w:color w:val="000000"/>
                <w:sz w:val="24"/>
                <w:szCs w:val="24"/>
              </w:rPr>
            </w:pPr>
            <w:r>
              <w:rPr>
                <w:rFonts w:eastAsia="Times New Roman" w:ascii="Times New Roman" w:hAnsi="Times New Roman"/>
                <w:b/>
                <w:bCs/>
                <w:color w:val="000000"/>
                <w:sz w:val="24"/>
                <w:szCs w:val="24"/>
              </w:rPr>
            </w:r>
          </w:p>
        </w:tc>
        <w:tc>
          <w:tcPr>
            <w:tcW w:w="255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b/>
                <w:b/>
                <w:bCs/>
                <w:color w:val="000000"/>
                <w:sz w:val="24"/>
                <w:szCs w:val="24"/>
              </w:rPr>
            </w:pPr>
            <w:r>
              <w:rPr>
                <w:rFonts w:eastAsia="Times New Roman" w:ascii="Times New Roman" w:hAnsi="Times New Roman"/>
                <w:b/>
                <w:bCs/>
                <w:color w:val="000000"/>
                <w:sz w:val="24"/>
                <w:szCs w:val="24"/>
              </w:rPr>
            </w:r>
          </w:p>
        </w:tc>
        <w:tc>
          <w:tcPr>
            <w:tcW w:w="222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hanging="0"/>
              <w:rPr>
                <w:rFonts w:ascii="Times New Roman" w:hAnsi="Times New Roman" w:eastAsia="Times New Roman"/>
                <w:b/>
                <w:b/>
                <w:bCs/>
                <w:color w:val="000000"/>
                <w:sz w:val="24"/>
                <w:szCs w:val="24"/>
              </w:rPr>
            </w:pPr>
            <w:r>
              <w:rPr>
                <w:rFonts w:eastAsia="Times New Roman" w:ascii="Times New Roman" w:hAnsi="Times New Roman"/>
                <w:b/>
                <w:bCs/>
                <w:color w:val="000000"/>
                <w:sz w:val="24"/>
                <w:szCs w:val="24"/>
              </w:rPr>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I</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II</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III</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IV</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V</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VI</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Анучинский МР</w:t>
            </w:r>
          </w:p>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1,25</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5,51</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8,97</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Арсеньевский ГО</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1,55</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41,04</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4,77</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41,04</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Артёмовский ГО</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13,76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2,83</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35,03</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w:t>
            </w:r>
          </w:p>
        </w:tc>
        <w:tc>
          <w:tcPr>
            <w:tcW w:w="2552" w:type="dxa"/>
            <w:vMerge w:val="restart"/>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Владивостокский ГО</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1,10</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3,12</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ГО Большой Камень</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0,93</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41,04</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2,21</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41,04</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ГО ЗАТО г. Фокино</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2,78</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33,40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3,77</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33,40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7.</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Дальнегорский ГО</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3,58</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4,49</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10,02</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8.</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Дальнереченский ГО</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2,96</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41,04</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4,59</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41,04</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9.</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Дальнереченский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0,97</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7,58</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5,47</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7,61</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10.</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Кавалеровский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1,10</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4,33</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Кировский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2,26</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5,95</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12.</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Красноармейский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2,40</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5,74</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13.</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Лазовский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1,10</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19,15</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2,86</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9,42</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19,15</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14.</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Лесозаводский ГО</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1,11</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6,12</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15.</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Михайловский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1,04</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14,04</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4,23</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8,86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18,75</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16.</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Надеждинский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1,11</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15,41</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0,50</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3,19</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12,78</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17,86</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0,50</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17.</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Находкинский ГО</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2,93</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41,04</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3,68</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41,04</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18.</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Октябрьский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1,18</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9,27</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21,37</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4,09</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12,48</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21,37</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19.</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Ольгинский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1,10</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3,39</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20.</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Партизанский ГО</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1,10</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2,68</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21.</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Партизанский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1,10</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9,27</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9,47</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0,50</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3,16</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23,41</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14,48</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0,50</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Пограничный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1,39</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9,27</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16,56</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4,06</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9,29</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17,75</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23.</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Пожарский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1,18</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4,38</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13,66</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0,50</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5,31</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5,50</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51,99</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0,50</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24.</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ГО Спасск-Дальний</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5,89</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41,04</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5,89</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41,04</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25.</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Спасский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1,41</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26,79</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5,89</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6,90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26,79</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26.</w:t>
            </w:r>
          </w:p>
        </w:tc>
        <w:tc>
          <w:tcPr>
            <w:tcW w:w="2552" w:type="dxa"/>
            <w:vMerge w:val="restart"/>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Тернейский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2,78</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w:t>
            </w:r>
          </w:p>
        </w:tc>
      </w:tr>
      <w:tr>
        <w:trPr>
          <w:trHeight w:val="240" w:hRule="atLeast"/>
        </w:trPr>
        <w:tc>
          <w:tcPr>
            <w:tcW w:w="5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3,83</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27.</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Уссурийский ГО</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1,04</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0,50</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4,05</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19,24</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0,50</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28.</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Ханкайский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3,03</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4,38</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4,45</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5,11</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4,38</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6,83</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4,81</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788" w:hanging="1788"/>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29.</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Хасанский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2,56</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4,38</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20,25</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3,98</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4,38</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7,49</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44,81</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30.</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Хорольский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1,25</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14,66</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5,32</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6,69</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17,63</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31.</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Черниговский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1,11</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20,87</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5,56</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37,12</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32.</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Чугуевский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1,10</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14,80</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4,12</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14,80</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7,74</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33.</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Шкотовский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0,91</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22,88</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2,93</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9,04</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22,88</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34.</w:t>
            </w:r>
          </w:p>
        </w:tc>
        <w:tc>
          <w:tcPr>
            <w:tcW w:w="2552"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t>Яковлевский МР</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1,55</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567" w:type="dxa"/>
            <w:vMerge w:val="continue"/>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55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olor w:val="000000"/>
                <w:sz w:val="24"/>
                <w:szCs w:val="24"/>
              </w:rPr>
            </w:pPr>
            <w:r>
              <w:rPr>
                <w:rFonts w:eastAsia="Times New Roman" w:ascii="Times New Roman" w:hAnsi="Times New Roman"/>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5,03</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22,50</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 </w:t>
            </w:r>
            <w:r>
              <w:rPr>
                <w:rFonts w:eastAsia="Times New Roman" w:ascii="Times New Roman" w:hAnsi="Times New Roman"/>
                <w:color w:val="000000"/>
                <w:sz w:val="24"/>
                <w:szCs w:val="24"/>
              </w:rPr>
              <w:t>-</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0,84</w:t>
            </w:r>
          </w:p>
        </w:tc>
      </w:tr>
      <w:tr>
        <w:trPr>
          <w:trHeight w:val="240" w:hRule="atLeast"/>
        </w:trPr>
        <w:tc>
          <w:tcPr>
            <w:tcW w:w="3119"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Приморский край</w:t>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Минимальное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0,84</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4,38</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6,66</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4,45</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0,50</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0,84</w:t>
            </w:r>
          </w:p>
        </w:tc>
      </w:tr>
      <w:tr>
        <w:trPr>
          <w:trHeight w:val="240" w:hRule="atLeast"/>
        </w:trPr>
        <w:tc>
          <w:tcPr>
            <w:tcW w:w="3119" w:type="dxa"/>
            <w:gridSpan w:val="2"/>
            <w:vMerge w:val="continue"/>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r>
          </w:p>
        </w:tc>
        <w:tc>
          <w:tcPr>
            <w:tcW w:w="22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Средневзвешенное</w:t>
            </w:r>
          </w:p>
        </w:tc>
        <w:tc>
          <w:tcPr>
            <w:tcW w:w="67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4,81</w:t>
            </w:r>
          </w:p>
        </w:tc>
        <w:tc>
          <w:tcPr>
            <w:tcW w:w="7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4,91</w:t>
            </w:r>
          </w:p>
        </w:tc>
        <w:tc>
          <w:tcPr>
            <w:tcW w:w="75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9,21</w:t>
            </w:r>
          </w:p>
        </w:tc>
        <w:tc>
          <w:tcPr>
            <w:tcW w:w="75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16,03</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0,50</w:t>
            </w:r>
          </w:p>
        </w:tc>
        <w:tc>
          <w:tcPr>
            <w:tcW w:w="63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0,84</w:t>
            </w:r>
          </w:p>
        </w:tc>
      </w:tr>
    </w:tbl>
    <w:p>
      <w:pPr>
        <w:pStyle w:val="Normal"/>
        <w:spacing w:lineRule="auto" w:line="240" w:before="0" w:after="0"/>
        <w:ind w:left="-142" w:firstLine="709"/>
        <w:jc w:val="both"/>
        <w:rPr>
          <w:rFonts w:ascii="Times New Roman" w:hAnsi="Times New Roman"/>
          <w:color w:val="000000"/>
          <w:spacing w:val="-1"/>
          <w:sz w:val="28"/>
        </w:rPr>
      </w:pPr>
      <w:r>
        <w:rPr>
          <w:rFonts w:ascii="Times New Roman" w:hAnsi="Times New Roman"/>
          <w:color w:val="000000"/>
          <w:spacing w:val="-1"/>
          <w:sz w:val="28"/>
        </w:rPr>
        <w:t>*) В таблице приняты обозначения: МР – муниципальный район, ГО – городской округ.</w:t>
      </w:r>
    </w:p>
    <w:p>
      <w:pPr>
        <w:pStyle w:val="Normal"/>
        <w:shd w:val="clear" w:color="auto" w:fill="FFFFFF"/>
        <w:spacing w:lineRule="auto" w:line="240" w:before="0" w:after="0"/>
        <w:ind w:left="-142" w:firstLine="709"/>
        <w:jc w:val="both"/>
        <w:rPr>
          <w:rFonts w:ascii="Times New Roman" w:hAnsi="Times New Roman"/>
          <w:sz w:val="28"/>
          <w:szCs w:val="28"/>
        </w:rPr>
      </w:pPr>
      <w:r>
        <w:rPr>
          <w:rFonts w:ascii="Times New Roman" w:hAnsi="Times New Roman"/>
          <w:sz w:val="28"/>
          <w:szCs w:val="28"/>
        </w:rPr>
        <w:t>Результаты работ по государственной кадастровой оценке земель сельскохозяйственного назначения утверждены постановлением департамента земельных и имущественных отношений Приморского края от 07.12.2015 № 4-п «Об утверждении результатов определения кадастровой стоимости земельных участков в составе земель сельскохозяйственного назначения Приморского края, в том числе земельных участков в составе садоводческих, огороднических и дачных объединений Приморского края».</w:t>
      </w:r>
    </w:p>
    <w:p>
      <w:pPr>
        <w:pStyle w:val="Normal"/>
        <w:widowControl w:val="false"/>
        <w:spacing w:lineRule="auto" w:line="240" w:before="240" w:after="200"/>
        <w:ind w:left="-142" w:firstLine="709"/>
        <w:jc w:val="center"/>
        <w:rPr>
          <w:rFonts w:ascii="Times New Roman" w:hAnsi="Times New Roman" w:eastAsia="" w:cs="" w:cstheme="majorBidi" w:eastAsiaTheme="majorEastAsia"/>
          <w:b/>
          <w:b/>
          <w:sz w:val="28"/>
          <w:szCs w:val="28"/>
          <w:lang w:eastAsia="en-US" w:bidi="en-US"/>
        </w:rPr>
      </w:pPr>
      <w:r>
        <w:rPr>
          <w:rFonts w:eastAsia="" w:cs="" w:ascii="Times New Roman" w:hAnsi="Times New Roman" w:cstheme="majorBidi" w:eastAsiaTheme="majorEastAsia"/>
          <w:b/>
          <w:sz w:val="28"/>
          <w:szCs w:val="28"/>
          <w:lang w:eastAsia="en-US" w:bidi="en-US"/>
        </w:rPr>
        <w:t>Земли садоводческих, огороднических и дачных объединений</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Работы по актуализации государственной кадастровой оценки земельных участков садоводческих, огороднических и дачных объединений в составе земель сельскохозяйственного назначения Приморского края проводились в 2015 году на основании приказа департамента земельных и имущественных отношений Приморского края от 16.03.2015 № 77 «О проведении государственной кадастровой оценки земель на территории Приморского края в 2015 году».</w:t>
      </w:r>
    </w:p>
    <w:p>
      <w:pPr>
        <w:pStyle w:val="Normal"/>
        <w:shd w:val="clear" w:color="auto" w:fill="FFFFFF"/>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 xml:space="preserve">В результате проведения данных работ определена кадастровая стоимость </w:t>
      </w:r>
      <w:r>
        <w:rPr>
          <w:rFonts w:ascii="Times New Roman" w:hAnsi="Times New Roman"/>
          <w:bCs/>
          <w:sz w:val="28"/>
          <w:szCs w:val="28"/>
        </w:rPr>
        <w:t xml:space="preserve">144020 </w:t>
      </w:r>
      <w:r>
        <w:rPr>
          <w:rFonts w:ascii="Times New Roman" w:hAnsi="Times New Roman"/>
          <w:sz w:val="28"/>
          <w:szCs w:val="28"/>
        </w:rPr>
        <w:t>земельных участков.</w:t>
      </w:r>
    </w:p>
    <w:p>
      <w:pPr>
        <w:pStyle w:val="Normal"/>
        <w:spacing w:lineRule="auto" w:line="240" w:before="60" w:after="0"/>
        <w:ind w:firstLine="567"/>
        <w:contextualSpacing/>
        <w:rPr>
          <w:rFonts w:ascii="Times New Roman" w:hAnsi="Times New Roman"/>
          <w:sz w:val="28"/>
          <w:szCs w:val="28"/>
        </w:rPr>
      </w:pPr>
      <w:r>
        <w:rPr>
          <w:rFonts w:ascii="Times New Roman" w:hAnsi="Times New Roman"/>
          <w:sz w:val="28"/>
          <w:szCs w:val="28"/>
        </w:rPr>
        <w:t>Распределение объектов оценки в разрезе муниципальных образований Приморского края представлено в таблице 21.</w:t>
      </w:r>
    </w:p>
    <w:p>
      <w:pPr>
        <w:pStyle w:val="Normal"/>
        <w:spacing w:lineRule="auto" w:line="240" w:before="0" w:after="0"/>
        <w:ind w:right="282" w:firstLine="567"/>
        <w:jc w:val="right"/>
        <w:rPr>
          <w:rFonts w:ascii="Times New Roman" w:hAnsi="Times New Roman"/>
          <w:sz w:val="24"/>
          <w:szCs w:val="24"/>
        </w:rPr>
      </w:pPr>
      <w:r>
        <w:rPr>
          <w:rFonts w:ascii="Times New Roman" w:hAnsi="Times New Roman"/>
          <w:sz w:val="24"/>
          <w:szCs w:val="24"/>
        </w:rPr>
        <w:t>Таблица 21</w:t>
      </w:r>
    </w:p>
    <w:tbl>
      <w:tblPr>
        <w:tblW w:w="962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368"/>
        <w:gridCol w:w="3260"/>
      </w:tblGrid>
      <w:tr>
        <w:trPr>
          <w:tblHeader w:val="true"/>
          <w:trHeight w:val="300" w:hRule="atLeast"/>
        </w:trPr>
        <w:tc>
          <w:tcPr>
            <w:tcW w:w="6368" w:type="dxa"/>
            <w:tcBorders>
              <w:top w:val="single" w:sz="8" w:space="0" w:color="4F81BD"/>
              <w:left w:val="single" w:sz="8" w:space="0" w:color="4F81BD"/>
              <w:bottom w:val="single" w:sz="18" w:space="0" w:color="4F81BD"/>
              <w:right w:val="single" w:sz="8" w:space="0" w:color="4F81BD"/>
            </w:tcBorders>
            <w:shd w:color="auto" w:fill="auto" w:val="clea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Наименование муниципального района / городского округа</w:t>
            </w:r>
          </w:p>
        </w:tc>
        <w:tc>
          <w:tcPr>
            <w:tcW w:w="3260" w:type="dxa"/>
            <w:tcBorders>
              <w:top w:val="single" w:sz="8" w:space="0" w:color="4F81BD"/>
              <w:left w:val="single" w:sz="8" w:space="0" w:color="4F81BD"/>
              <w:bottom w:val="single" w:sz="18" w:space="0" w:color="4F81BD"/>
              <w:right w:val="single" w:sz="8" w:space="0" w:color="4F81BD"/>
            </w:tcBorders>
            <w:shd w:color="auto" w:fill="auto" w:val="clear"/>
          </w:tcPr>
          <w:p>
            <w:pPr>
              <w:pStyle w:val="Normal"/>
              <w:widowControl w:val="false"/>
              <w:spacing w:lineRule="auto" w:line="240" w:before="0" w:after="0"/>
              <w:jc w:val="center"/>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Количество участков, шт.</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Артем</w:t>
            </w:r>
          </w:p>
        </w:tc>
        <w:tc>
          <w:tcPr>
            <w:tcW w:w="3260"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14 907</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Большой Камень</w:t>
            </w:r>
          </w:p>
        </w:tc>
        <w:tc>
          <w:tcPr>
            <w:tcW w:w="3260"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1 242</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Дальнегорск</w:t>
            </w:r>
          </w:p>
        </w:tc>
        <w:tc>
          <w:tcPr>
            <w:tcW w:w="3260"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11 214</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Дальнереченск</w:t>
            </w:r>
          </w:p>
        </w:tc>
        <w:tc>
          <w:tcPr>
            <w:tcW w:w="3260"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52</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Лесозаводск</w:t>
            </w:r>
          </w:p>
        </w:tc>
        <w:tc>
          <w:tcPr>
            <w:tcW w:w="3260"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5 979</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Находка</w:t>
            </w:r>
          </w:p>
        </w:tc>
        <w:tc>
          <w:tcPr>
            <w:tcW w:w="3260"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2 143</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Партизанск</w:t>
            </w:r>
          </w:p>
        </w:tc>
        <w:tc>
          <w:tcPr>
            <w:tcW w:w="3260"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157</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Уссурийск</w:t>
            </w:r>
          </w:p>
        </w:tc>
        <w:tc>
          <w:tcPr>
            <w:tcW w:w="3260"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3 804</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Фокино</w:t>
            </w:r>
          </w:p>
        </w:tc>
        <w:tc>
          <w:tcPr>
            <w:tcW w:w="3260"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2 480</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Муниципальный район Анучинский</w:t>
            </w:r>
          </w:p>
        </w:tc>
        <w:tc>
          <w:tcPr>
            <w:tcW w:w="3260"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1 865</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Муниципальный район Дальнереченский</w:t>
            </w:r>
          </w:p>
        </w:tc>
        <w:tc>
          <w:tcPr>
            <w:tcW w:w="3260"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16</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Муниципальный район Кавалеровский</w:t>
            </w:r>
          </w:p>
        </w:tc>
        <w:tc>
          <w:tcPr>
            <w:tcW w:w="3260"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4 433</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Муниципальный район Кировский</w:t>
            </w:r>
          </w:p>
        </w:tc>
        <w:tc>
          <w:tcPr>
            <w:tcW w:w="3260"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136</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Муниципальный район Михайловский</w:t>
            </w:r>
          </w:p>
        </w:tc>
        <w:tc>
          <w:tcPr>
            <w:tcW w:w="3260"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1 204</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Муниципальный район Надеждинский</w:t>
            </w:r>
          </w:p>
        </w:tc>
        <w:tc>
          <w:tcPr>
            <w:tcW w:w="3260"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67 541</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Муниципальный район Октябрьский</w:t>
            </w:r>
          </w:p>
        </w:tc>
        <w:tc>
          <w:tcPr>
            <w:tcW w:w="3260"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Муниципальный район Партизанский</w:t>
            </w:r>
          </w:p>
        </w:tc>
        <w:tc>
          <w:tcPr>
            <w:tcW w:w="3260"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5 411</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Муниципальный район Пожарский</w:t>
            </w:r>
          </w:p>
        </w:tc>
        <w:tc>
          <w:tcPr>
            <w:tcW w:w="3260"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7 667</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Муниципальный район Спасский</w:t>
            </w:r>
          </w:p>
        </w:tc>
        <w:tc>
          <w:tcPr>
            <w:tcW w:w="3260"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5 703</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Муниципальный район Хасанский</w:t>
            </w:r>
          </w:p>
        </w:tc>
        <w:tc>
          <w:tcPr>
            <w:tcW w:w="3260"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2 358</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Муниципальный район Чугуевский</w:t>
            </w:r>
          </w:p>
        </w:tc>
        <w:tc>
          <w:tcPr>
            <w:tcW w:w="3260"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40</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Муниципальный район Шкотовский</w:t>
            </w:r>
          </w:p>
        </w:tc>
        <w:tc>
          <w:tcPr>
            <w:tcW w:w="3260" w:type="dxa"/>
            <w:tcBorders>
              <w:top w:val="single" w:sz="8" w:space="0" w:color="4F81BD"/>
              <w:left w:val="single" w:sz="8" w:space="0" w:color="4F81BD"/>
              <w:bottom w:val="single" w:sz="8" w:space="0" w:color="4F81BD"/>
              <w:right w:val="single" w:sz="8" w:space="0" w:color="4F81BD"/>
            </w:tcBorders>
            <w:shd w:color="auto" w:fill="auto"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5 651</w:t>
            </w:r>
          </w:p>
        </w:tc>
      </w:tr>
      <w:tr>
        <w:trPr>
          <w:trHeight w:val="300" w:hRule="atLeast"/>
        </w:trPr>
        <w:tc>
          <w:tcPr>
            <w:tcW w:w="6368"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rPr>
                <w:rFonts w:ascii="Times New Roman" w:hAnsi="Times New Roman" w:eastAsia="Times New Roman"/>
                <w:bCs/>
                <w:color w:val="000000"/>
                <w:sz w:val="24"/>
                <w:szCs w:val="24"/>
              </w:rPr>
            </w:pPr>
            <w:r>
              <w:rPr>
                <w:rFonts w:eastAsia="Times New Roman" w:ascii="Times New Roman" w:hAnsi="Times New Roman"/>
                <w:bCs/>
                <w:color w:val="000000"/>
                <w:sz w:val="24"/>
                <w:szCs w:val="24"/>
              </w:rPr>
              <w:t>Муниципальный район Яковлевский</w:t>
            </w:r>
          </w:p>
        </w:tc>
        <w:tc>
          <w:tcPr>
            <w:tcW w:w="3260" w:type="dxa"/>
            <w:tcBorders>
              <w:top w:val="single" w:sz="8" w:space="0" w:color="4F81BD"/>
              <w:left w:val="single" w:sz="8" w:space="0" w:color="4F81BD"/>
              <w:bottom w:val="single" w:sz="8" w:space="0" w:color="4F81BD"/>
              <w:right w:val="single" w:sz="8" w:space="0" w:color="4F81BD"/>
            </w:tcBorders>
            <w:shd w:color="auto" w:fill="D3DFEE" w:val="clea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sz w:val="24"/>
                <w:szCs w:val="24"/>
              </w:rPr>
              <w:t>15</w:t>
            </w:r>
          </w:p>
        </w:tc>
      </w:tr>
    </w:tbl>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Все земельные участки распределены по 1133 садоводческим и огородническим объединениям и 20 дачным объединениям.</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Определение кадастровой стоимости земельных участков садоводческих, огороднических и дачных объединений осуществлялось в следующем порядке:</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 кластеризация объединений;</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 определение удельного показателя кадастровой стоимости земель для каждого объединения;</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 определение кадастровой стоимости земельных участков объединений.</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Расчет кадастровой стоимости для садово-огороднических и дачных объединений проводился по-отдельности.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xml:space="preserve">Порядок определения удельного показателя кадастровой стоимости  земель объединений устанавливался с учетом достаточности (или недостаточности) в кластере информации о рыночных ценах и (или) рыночной стоимости земельных участков. </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Кадастровая стоимость земельных участков объединений рассчитывалась путем умножения площади этих земельных участков на удельный показатель кадастровой стоимости эталонных земельных участков в составе рассматриваемых объединений.</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Для сравнения с нынешними результатами были использованы значения, утвержденные Постановлением Администрации Приморского края от 30.12.2010 № 435-па «О результатах государственной кадастровой оценки земель садоводческих, огороднических и дачных объединений Приморского края и среднем уровне кадастровой стоимости земель садоводческих, огороднических и дачных объединений Приморского края».</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Сравнение результатов государственной кадастровой оценки земельных участков сельскохозяйственного назначения, входящих в состав садоводческих, огороднических и дачных объединений, по состоянию на 01.01.2008 и на 01.02.2015 в разрезе муниципальных районов представлено в таблице 22.</w:t>
      </w:r>
    </w:p>
    <w:p>
      <w:pPr>
        <w:pStyle w:val="Normal"/>
        <w:spacing w:lineRule="auto" w:line="240" w:before="0" w:after="0"/>
        <w:ind w:right="282" w:firstLine="567"/>
        <w:jc w:val="right"/>
        <w:rPr>
          <w:rFonts w:ascii="Times New Roman" w:hAnsi="Times New Roman"/>
          <w:sz w:val="24"/>
          <w:szCs w:val="24"/>
        </w:rPr>
      </w:pPr>
      <w:r>
        <w:rPr>
          <w:rFonts w:ascii="Times New Roman" w:hAnsi="Times New Roman"/>
          <w:sz w:val="24"/>
          <w:szCs w:val="24"/>
        </w:rPr>
      </w:r>
    </w:p>
    <w:p>
      <w:pPr>
        <w:pStyle w:val="Normal"/>
        <w:spacing w:lineRule="auto" w:line="240" w:before="0" w:after="0"/>
        <w:ind w:right="282" w:firstLine="567"/>
        <w:jc w:val="right"/>
        <w:rPr>
          <w:rFonts w:ascii="Times New Roman" w:hAnsi="Times New Roman"/>
          <w:sz w:val="24"/>
          <w:szCs w:val="24"/>
        </w:rPr>
      </w:pPr>
      <w:r>
        <w:rPr>
          <w:rFonts w:ascii="Times New Roman" w:hAnsi="Times New Roman"/>
          <w:sz w:val="24"/>
          <w:szCs w:val="24"/>
        </w:rPr>
      </w:r>
    </w:p>
    <w:p>
      <w:pPr>
        <w:pStyle w:val="Normal"/>
        <w:spacing w:lineRule="auto" w:line="240" w:before="0" w:after="0"/>
        <w:ind w:right="282" w:firstLine="567"/>
        <w:jc w:val="right"/>
        <w:rPr>
          <w:rFonts w:ascii="Times New Roman" w:hAnsi="Times New Roman"/>
          <w:sz w:val="24"/>
          <w:szCs w:val="24"/>
        </w:rPr>
      </w:pPr>
      <w:r>
        <w:rPr>
          <w:rFonts w:ascii="Times New Roman" w:hAnsi="Times New Roman"/>
          <w:sz w:val="24"/>
          <w:szCs w:val="24"/>
        </w:rPr>
        <w:t>Таблица 22</w:t>
      </w:r>
    </w:p>
    <w:tbl>
      <w:tblPr>
        <w:tblW w:w="9177" w:type="dxa"/>
        <w:jc w:val="center"/>
        <w:tblInd w:w="0" w:type="dxa"/>
        <w:tblLayout w:type="fixed"/>
        <w:tblCellMar>
          <w:top w:w="0" w:type="dxa"/>
          <w:left w:w="108" w:type="dxa"/>
          <w:bottom w:w="0" w:type="dxa"/>
          <w:right w:w="108" w:type="dxa"/>
        </w:tblCellMar>
        <w:tblLook w:val="0420" w:noHBand="0" w:noVBand="1" w:firstColumn="0" w:lastRow="0" w:lastColumn="0" w:firstRow="1"/>
      </w:tblPr>
      <w:tblGrid>
        <w:gridCol w:w="492"/>
        <w:gridCol w:w="2268"/>
        <w:gridCol w:w="1133"/>
        <w:gridCol w:w="992"/>
        <w:gridCol w:w="1135"/>
        <w:gridCol w:w="993"/>
        <w:gridCol w:w="1134"/>
        <w:gridCol w:w="1029"/>
      </w:tblGrid>
      <w:tr>
        <w:trPr>
          <w:tblHeader w:val="true"/>
          <w:trHeight w:val="57" w:hRule="atLeast"/>
        </w:trPr>
        <w:tc>
          <w:tcPr>
            <w:tcW w:w="492" w:type="dxa"/>
            <w:vMerge w:val="restart"/>
            <w:tcBorders>
              <w:top w:val="single" w:sz="8" w:space="0" w:color="4F81BD"/>
              <w:left w:val="single" w:sz="8" w:space="0" w:color="4F81BD"/>
              <w:bottom w:val="single" w:sz="1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bCs/>
              </w:rPr>
            </w:pPr>
            <w:r>
              <w:rPr>
                <w:rFonts w:eastAsia="Times New Roman" w:ascii="Times New Roman" w:hAnsi="Times New Roman"/>
                <w:bCs/>
              </w:rPr>
              <w:t xml:space="preserve">№ </w:t>
            </w:r>
            <w:r>
              <w:rPr>
                <w:rFonts w:eastAsia="Times New Roman" w:ascii="Times New Roman" w:hAnsi="Times New Roman"/>
                <w:bCs/>
              </w:rPr>
              <w:t>п/п</w:t>
            </w:r>
          </w:p>
        </w:tc>
        <w:tc>
          <w:tcPr>
            <w:tcW w:w="2268" w:type="dxa"/>
            <w:vMerge w:val="restart"/>
            <w:tcBorders>
              <w:top w:val="single" w:sz="8" w:space="0" w:color="4F81BD"/>
              <w:left w:val="single" w:sz="8" w:space="0" w:color="4F81BD"/>
              <w:bottom w:val="single" w:sz="1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bCs/>
              </w:rPr>
            </w:pPr>
            <w:r>
              <w:rPr>
                <w:rFonts w:eastAsia="Times New Roman" w:ascii="Times New Roman" w:hAnsi="Times New Roman"/>
                <w:bCs/>
              </w:rPr>
              <w:t>Наименование муниципального района/городского округа</w:t>
            </w:r>
          </w:p>
        </w:tc>
        <w:tc>
          <w:tcPr>
            <w:tcW w:w="2125" w:type="dxa"/>
            <w:gridSpan w:val="2"/>
            <w:tcBorders>
              <w:top w:val="single" w:sz="8" w:space="0" w:color="4F81BD"/>
              <w:left w:val="single" w:sz="8" w:space="0" w:color="4F81BD"/>
              <w:bottom w:val="single" w:sz="8" w:space="0" w:color="244061"/>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bCs/>
                <w:color w:val="000000"/>
              </w:rPr>
            </w:pPr>
            <w:r>
              <w:rPr>
                <w:rFonts w:eastAsia="Times New Roman" w:ascii="Times New Roman" w:hAnsi="Times New Roman"/>
                <w:bCs/>
                <w:color w:val="000000"/>
              </w:rPr>
              <w:t>Средние УПКС, в разрезе типов объединений в прошлом туре (2008), руб./кв.м</w:t>
            </w:r>
          </w:p>
        </w:tc>
        <w:tc>
          <w:tcPr>
            <w:tcW w:w="2128" w:type="dxa"/>
            <w:gridSpan w:val="2"/>
            <w:tcBorders>
              <w:top w:val="single" w:sz="8" w:space="0" w:color="4F81BD"/>
              <w:left w:val="single" w:sz="8" w:space="0" w:color="4F81BD"/>
              <w:bottom w:val="single" w:sz="8" w:space="0" w:color="244061"/>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bCs/>
                <w:color w:val="000000"/>
              </w:rPr>
            </w:pPr>
            <w:r>
              <w:rPr>
                <w:rFonts w:eastAsia="Times New Roman" w:ascii="Times New Roman" w:hAnsi="Times New Roman"/>
                <w:bCs/>
                <w:color w:val="000000"/>
              </w:rPr>
              <w:t>Средние УПКС, в разрезе типов объединений в настоящем туре (2015), руб./кв.м</w:t>
            </w:r>
          </w:p>
        </w:tc>
        <w:tc>
          <w:tcPr>
            <w:tcW w:w="2163" w:type="dxa"/>
            <w:gridSpan w:val="2"/>
            <w:tcBorders>
              <w:top w:val="single" w:sz="8" w:space="0" w:color="4F81BD"/>
              <w:left w:val="single" w:sz="8" w:space="0" w:color="4F81BD"/>
              <w:bottom w:val="single" w:sz="8" w:space="0" w:color="244061"/>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bCs/>
                <w:color w:val="000000"/>
              </w:rPr>
            </w:pPr>
            <w:r>
              <w:rPr>
                <w:rFonts w:eastAsia="Times New Roman" w:ascii="Times New Roman" w:hAnsi="Times New Roman"/>
                <w:bCs/>
              </w:rPr>
              <w:t>Изменения, раз (2015/2008)</w:t>
            </w:r>
          </w:p>
        </w:tc>
      </w:tr>
      <w:tr>
        <w:trPr>
          <w:tblHeader w:val="true"/>
          <w:trHeight w:val="57" w:hRule="atLeast"/>
        </w:trPr>
        <w:tc>
          <w:tcPr>
            <w:tcW w:w="492" w:type="dxa"/>
            <w:vMerge w:val="continue"/>
            <w:tcBorders>
              <w:top w:val="single" w:sz="8" w:space="0" w:color="4F81BD"/>
              <w:left w:val="single" w:sz="8" w:space="0" w:color="4F81BD"/>
              <w:bottom w:val="single" w:sz="1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bCs/>
              </w:rPr>
            </w:pPr>
            <w:r>
              <w:rPr>
                <w:rFonts w:eastAsia="Times New Roman" w:ascii="Times New Roman" w:hAnsi="Times New Roman"/>
                <w:bCs/>
              </w:rPr>
            </w:r>
          </w:p>
        </w:tc>
        <w:tc>
          <w:tcPr>
            <w:tcW w:w="2268" w:type="dxa"/>
            <w:vMerge w:val="continue"/>
            <w:tcBorders>
              <w:top w:val="single" w:sz="8" w:space="0" w:color="4F81BD"/>
              <w:left w:val="single" w:sz="8" w:space="0" w:color="4F81BD"/>
              <w:bottom w:val="single" w:sz="1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eastAsia="Times New Roman"/>
                <w:bCs/>
              </w:rPr>
            </w:pPr>
            <w:r>
              <w:rPr>
                <w:rFonts w:eastAsia="Times New Roman" w:ascii="Times New Roman" w:hAnsi="Times New Roman"/>
                <w:bCs/>
              </w:rPr>
            </w:r>
          </w:p>
        </w:tc>
        <w:tc>
          <w:tcPr>
            <w:tcW w:w="1133" w:type="dxa"/>
            <w:tcBorders>
              <w:top w:val="single" w:sz="8" w:space="0" w:color="244061"/>
              <w:left w:val="single" w:sz="8" w:space="0" w:color="4F81BD"/>
              <w:bottom w:val="single" w:sz="1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bCs/>
              </w:rPr>
            </w:pPr>
            <w:r>
              <w:rPr>
                <w:rFonts w:eastAsia="Times New Roman" w:ascii="Times New Roman" w:hAnsi="Times New Roman"/>
                <w:bCs/>
              </w:rPr>
              <w:t>садоводческие, огороднические объединения</w:t>
            </w:r>
          </w:p>
        </w:tc>
        <w:tc>
          <w:tcPr>
            <w:tcW w:w="992" w:type="dxa"/>
            <w:tcBorders>
              <w:top w:val="single" w:sz="8" w:space="0" w:color="244061"/>
              <w:left w:val="single" w:sz="8" w:space="0" w:color="4F81BD"/>
              <w:bottom w:val="single" w:sz="1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bCs/>
              </w:rPr>
            </w:pPr>
            <w:r>
              <w:rPr>
                <w:rFonts w:eastAsia="Times New Roman" w:ascii="Times New Roman" w:hAnsi="Times New Roman"/>
                <w:bCs/>
              </w:rPr>
              <w:t>дачные объединения</w:t>
            </w:r>
          </w:p>
        </w:tc>
        <w:tc>
          <w:tcPr>
            <w:tcW w:w="1135" w:type="dxa"/>
            <w:tcBorders>
              <w:top w:val="single" w:sz="8" w:space="0" w:color="244061"/>
              <w:left w:val="single" w:sz="8" w:space="0" w:color="4F81BD"/>
              <w:bottom w:val="single" w:sz="1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bCs/>
              </w:rPr>
            </w:pPr>
            <w:r>
              <w:rPr>
                <w:rFonts w:eastAsia="Times New Roman" w:ascii="Times New Roman" w:hAnsi="Times New Roman"/>
                <w:bCs/>
              </w:rPr>
              <w:t>садоводческие, огороднические объединения</w:t>
            </w:r>
          </w:p>
        </w:tc>
        <w:tc>
          <w:tcPr>
            <w:tcW w:w="993" w:type="dxa"/>
            <w:tcBorders>
              <w:top w:val="single" w:sz="8" w:space="0" w:color="244061"/>
              <w:left w:val="single" w:sz="8" w:space="0" w:color="4F81BD"/>
              <w:bottom w:val="single" w:sz="1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bCs/>
              </w:rPr>
            </w:pPr>
            <w:r>
              <w:rPr>
                <w:rFonts w:eastAsia="Times New Roman" w:ascii="Times New Roman" w:hAnsi="Times New Roman"/>
                <w:bCs/>
              </w:rPr>
              <w:t>дачные объединения</w:t>
            </w:r>
          </w:p>
        </w:tc>
        <w:tc>
          <w:tcPr>
            <w:tcW w:w="1134" w:type="dxa"/>
            <w:tcBorders>
              <w:top w:val="single" w:sz="8" w:space="0" w:color="244061"/>
              <w:left w:val="single" w:sz="8" w:space="0" w:color="4F81BD"/>
              <w:bottom w:val="single" w:sz="1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bCs/>
              </w:rPr>
            </w:pPr>
            <w:r>
              <w:rPr>
                <w:rFonts w:eastAsia="Times New Roman" w:ascii="Times New Roman" w:hAnsi="Times New Roman"/>
                <w:bCs/>
              </w:rPr>
              <w:t>садоводческие, огороднические объединения</w:t>
            </w:r>
          </w:p>
        </w:tc>
        <w:tc>
          <w:tcPr>
            <w:tcW w:w="1029" w:type="dxa"/>
            <w:tcBorders>
              <w:top w:val="single" w:sz="8" w:space="0" w:color="244061"/>
              <w:left w:val="single" w:sz="8" w:space="0" w:color="4F81BD"/>
              <w:bottom w:val="single" w:sz="1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bCs/>
              </w:rPr>
            </w:pPr>
            <w:r>
              <w:rPr>
                <w:rFonts w:eastAsia="Times New Roman" w:ascii="Times New Roman" w:hAnsi="Times New Roman"/>
                <w:bCs/>
              </w:rPr>
              <w:t>дачные объединения</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1</w:t>
            </w:r>
          </w:p>
        </w:tc>
        <w:tc>
          <w:tcPr>
            <w:tcW w:w="2268"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Анучинский МР</w:t>
            </w:r>
          </w:p>
        </w:tc>
        <w:tc>
          <w:tcPr>
            <w:tcW w:w="113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7,15</w:t>
            </w:r>
          </w:p>
        </w:tc>
        <w:tc>
          <w:tcPr>
            <w:tcW w:w="9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30,12</w:t>
            </w:r>
          </w:p>
        </w:tc>
        <w:tc>
          <w:tcPr>
            <w:tcW w:w="99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4,21</w:t>
            </w:r>
          </w:p>
        </w:tc>
        <w:tc>
          <w:tcPr>
            <w:tcW w:w="1029"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2</w:t>
            </w:r>
          </w:p>
        </w:tc>
        <w:tc>
          <w:tcPr>
            <w:tcW w:w="2268"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Дальнереченский МР</w:t>
            </w:r>
          </w:p>
        </w:tc>
        <w:tc>
          <w:tcPr>
            <w:tcW w:w="113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6,96</w:t>
            </w:r>
          </w:p>
        </w:tc>
        <w:tc>
          <w:tcPr>
            <w:tcW w:w="9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32,31</w:t>
            </w:r>
          </w:p>
        </w:tc>
        <w:tc>
          <w:tcPr>
            <w:tcW w:w="99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4,64</w:t>
            </w:r>
          </w:p>
        </w:tc>
        <w:tc>
          <w:tcPr>
            <w:tcW w:w="1029"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3</w:t>
            </w:r>
          </w:p>
        </w:tc>
        <w:tc>
          <w:tcPr>
            <w:tcW w:w="2268"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Кавалеровский МР</w:t>
            </w:r>
          </w:p>
        </w:tc>
        <w:tc>
          <w:tcPr>
            <w:tcW w:w="113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7,08</w:t>
            </w:r>
          </w:p>
        </w:tc>
        <w:tc>
          <w:tcPr>
            <w:tcW w:w="9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35,66</w:t>
            </w:r>
          </w:p>
        </w:tc>
        <w:tc>
          <w:tcPr>
            <w:tcW w:w="99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5,04</w:t>
            </w:r>
          </w:p>
        </w:tc>
        <w:tc>
          <w:tcPr>
            <w:tcW w:w="1029"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4</w:t>
            </w:r>
          </w:p>
        </w:tc>
        <w:tc>
          <w:tcPr>
            <w:tcW w:w="2268"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Кировский МР</w:t>
            </w:r>
          </w:p>
        </w:tc>
        <w:tc>
          <w:tcPr>
            <w:tcW w:w="113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8,78</w:t>
            </w:r>
          </w:p>
        </w:tc>
        <w:tc>
          <w:tcPr>
            <w:tcW w:w="9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34,11</w:t>
            </w:r>
          </w:p>
        </w:tc>
        <w:tc>
          <w:tcPr>
            <w:tcW w:w="99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3,89</w:t>
            </w:r>
          </w:p>
        </w:tc>
        <w:tc>
          <w:tcPr>
            <w:tcW w:w="1029"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5</w:t>
            </w:r>
          </w:p>
        </w:tc>
        <w:tc>
          <w:tcPr>
            <w:tcW w:w="2268"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Лазовский МР</w:t>
            </w:r>
          </w:p>
        </w:tc>
        <w:tc>
          <w:tcPr>
            <w:tcW w:w="113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8,67</w:t>
            </w:r>
          </w:p>
        </w:tc>
        <w:tc>
          <w:tcPr>
            <w:tcW w:w="9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99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029"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6</w:t>
            </w:r>
          </w:p>
        </w:tc>
        <w:tc>
          <w:tcPr>
            <w:tcW w:w="2268"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Михайловский МР</w:t>
            </w:r>
          </w:p>
        </w:tc>
        <w:tc>
          <w:tcPr>
            <w:tcW w:w="113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6,88</w:t>
            </w:r>
          </w:p>
        </w:tc>
        <w:tc>
          <w:tcPr>
            <w:tcW w:w="9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36,70</w:t>
            </w:r>
          </w:p>
        </w:tc>
        <w:tc>
          <w:tcPr>
            <w:tcW w:w="99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5,34</w:t>
            </w:r>
          </w:p>
        </w:tc>
        <w:tc>
          <w:tcPr>
            <w:tcW w:w="1029"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7</w:t>
            </w:r>
          </w:p>
        </w:tc>
        <w:tc>
          <w:tcPr>
            <w:tcW w:w="2268"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Надеждинский МР</w:t>
            </w:r>
          </w:p>
        </w:tc>
        <w:tc>
          <w:tcPr>
            <w:tcW w:w="113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7,27</w:t>
            </w:r>
          </w:p>
        </w:tc>
        <w:tc>
          <w:tcPr>
            <w:tcW w:w="9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211,12</w:t>
            </w:r>
          </w:p>
        </w:tc>
        <w:tc>
          <w:tcPr>
            <w:tcW w:w="99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207,59</w:t>
            </w:r>
          </w:p>
        </w:tc>
        <w:tc>
          <w:tcPr>
            <w:tcW w:w="1134"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29,04</w:t>
            </w:r>
          </w:p>
        </w:tc>
        <w:tc>
          <w:tcPr>
            <w:tcW w:w="1029"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8</w:t>
            </w:r>
          </w:p>
        </w:tc>
        <w:tc>
          <w:tcPr>
            <w:tcW w:w="2268"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Октябрьский МР</w:t>
            </w:r>
          </w:p>
        </w:tc>
        <w:tc>
          <w:tcPr>
            <w:tcW w:w="113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7,25</w:t>
            </w:r>
          </w:p>
        </w:tc>
        <w:tc>
          <w:tcPr>
            <w:tcW w:w="9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32,19</w:t>
            </w:r>
          </w:p>
        </w:tc>
        <w:tc>
          <w:tcPr>
            <w:tcW w:w="99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4,44</w:t>
            </w:r>
          </w:p>
        </w:tc>
        <w:tc>
          <w:tcPr>
            <w:tcW w:w="1029"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9</w:t>
            </w:r>
          </w:p>
        </w:tc>
        <w:tc>
          <w:tcPr>
            <w:tcW w:w="2268"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Ольгинский МР</w:t>
            </w:r>
          </w:p>
        </w:tc>
        <w:tc>
          <w:tcPr>
            <w:tcW w:w="113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6,54</w:t>
            </w:r>
          </w:p>
        </w:tc>
        <w:tc>
          <w:tcPr>
            <w:tcW w:w="9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99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029"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10</w:t>
            </w:r>
          </w:p>
        </w:tc>
        <w:tc>
          <w:tcPr>
            <w:tcW w:w="2268"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Партизанский МР</w:t>
            </w:r>
          </w:p>
        </w:tc>
        <w:tc>
          <w:tcPr>
            <w:tcW w:w="113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7,06</w:t>
            </w:r>
          </w:p>
        </w:tc>
        <w:tc>
          <w:tcPr>
            <w:tcW w:w="9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22,32</w:t>
            </w:r>
          </w:p>
        </w:tc>
        <w:tc>
          <w:tcPr>
            <w:tcW w:w="1135"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37,38</w:t>
            </w:r>
          </w:p>
        </w:tc>
        <w:tc>
          <w:tcPr>
            <w:tcW w:w="99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37,91</w:t>
            </w:r>
          </w:p>
        </w:tc>
        <w:tc>
          <w:tcPr>
            <w:tcW w:w="1134"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5,29</w:t>
            </w:r>
          </w:p>
        </w:tc>
        <w:tc>
          <w:tcPr>
            <w:tcW w:w="1029"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1,70</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11</w:t>
            </w:r>
          </w:p>
        </w:tc>
        <w:tc>
          <w:tcPr>
            <w:tcW w:w="2268"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Пограничный МР</w:t>
            </w:r>
          </w:p>
        </w:tc>
        <w:tc>
          <w:tcPr>
            <w:tcW w:w="113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6,30</w:t>
            </w:r>
          </w:p>
        </w:tc>
        <w:tc>
          <w:tcPr>
            <w:tcW w:w="9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99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029"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12</w:t>
            </w:r>
          </w:p>
        </w:tc>
        <w:tc>
          <w:tcPr>
            <w:tcW w:w="2268"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Пожарский МР</w:t>
            </w:r>
          </w:p>
        </w:tc>
        <w:tc>
          <w:tcPr>
            <w:tcW w:w="113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6,46</w:t>
            </w:r>
          </w:p>
        </w:tc>
        <w:tc>
          <w:tcPr>
            <w:tcW w:w="9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35,51</w:t>
            </w:r>
          </w:p>
        </w:tc>
        <w:tc>
          <w:tcPr>
            <w:tcW w:w="99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5,50</w:t>
            </w:r>
          </w:p>
        </w:tc>
        <w:tc>
          <w:tcPr>
            <w:tcW w:w="1029"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13</w:t>
            </w:r>
          </w:p>
        </w:tc>
        <w:tc>
          <w:tcPr>
            <w:tcW w:w="2268"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Спасский МР</w:t>
            </w:r>
          </w:p>
        </w:tc>
        <w:tc>
          <w:tcPr>
            <w:tcW w:w="113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7,12</w:t>
            </w:r>
          </w:p>
        </w:tc>
        <w:tc>
          <w:tcPr>
            <w:tcW w:w="9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33,37</w:t>
            </w:r>
          </w:p>
        </w:tc>
        <w:tc>
          <w:tcPr>
            <w:tcW w:w="99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4,69</w:t>
            </w:r>
          </w:p>
        </w:tc>
        <w:tc>
          <w:tcPr>
            <w:tcW w:w="1029"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14</w:t>
            </w:r>
          </w:p>
        </w:tc>
        <w:tc>
          <w:tcPr>
            <w:tcW w:w="2268"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Тернейский МР</w:t>
            </w:r>
          </w:p>
        </w:tc>
        <w:tc>
          <w:tcPr>
            <w:tcW w:w="113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6,15</w:t>
            </w:r>
          </w:p>
        </w:tc>
        <w:tc>
          <w:tcPr>
            <w:tcW w:w="9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99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029"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15</w:t>
            </w:r>
          </w:p>
        </w:tc>
        <w:tc>
          <w:tcPr>
            <w:tcW w:w="2268"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Хасанский МР</w:t>
            </w:r>
          </w:p>
        </w:tc>
        <w:tc>
          <w:tcPr>
            <w:tcW w:w="113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9,38</w:t>
            </w:r>
          </w:p>
        </w:tc>
        <w:tc>
          <w:tcPr>
            <w:tcW w:w="9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47,68</w:t>
            </w:r>
          </w:p>
        </w:tc>
        <w:tc>
          <w:tcPr>
            <w:tcW w:w="99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5,08</w:t>
            </w:r>
          </w:p>
        </w:tc>
        <w:tc>
          <w:tcPr>
            <w:tcW w:w="1029"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16</w:t>
            </w:r>
          </w:p>
        </w:tc>
        <w:tc>
          <w:tcPr>
            <w:tcW w:w="2268"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Черниговский МР</w:t>
            </w:r>
          </w:p>
        </w:tc>
        <w:tc>
          <w:tcPr>
            <w:tcW w:w="113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6,81</w:t>
            </w:r>
          </w:p>
        </w:tc>
        <w:tc>
          <w:tcPr>
            <w:tcW w:w="9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99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029"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17</w:t>
            </w:r>
          </w:p>
        </w:tc>
        <w:tc>
          <w:tcPr>
            <w:tcW w:w="2268"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Чугуевский МР</w:t>
            </w:r>
          </w:p>
        </w:tc>
        <w:tc>
          <w:tcPr>
            <w:tcW w:w="113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7,02</w:t>
            </w:r>
          </w:p>
        </w:tc>
        <w:tc>
          <w:tcPr>
            <w:tcW w:w="9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31,43</w:t>
            </w:r>
          </w:p>
        </w:tc>
        <w:tc>
          <w:tcPr>
            <w:tcW w:w="99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4,48</w:t>
            </w:r>
          </w:p>
        </w:tc>
        <w:tc>
          <w:tcPr>
            <w:tcW w:w="1029"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18</w:t>
            </w:r>
          </w:p>
        </w:tc>
        <w:tc>
          <w:tcPr>
            <w:tcW w:w="2268"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Шкотовский МР</w:t>
            </w:r>
          </w:p>
        </w:tc>
        <w:tc>
          <w:tcPr>
            <w:tcW w:w="113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7,54</w:t>
            </w:r>
          </w:p>
        </w:tc>
        <w:tc>
          <w:tcPr>
            <w:tcW w:w="9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57,39</w:t>
            </w:r>
          </w:p>
        </w:tc>
        <w:tc>
          <w:tcPr>
            <w:tcW w:w="99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7,61</w:t>
            </w:r>
          </w:p>
        </w:tc>
        <w:tc>
          <w:tcPr>
            <w:tcW w:w="1029"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19</w:t>
            </w:r>
          </w:p>
        </w:tc>
        <w:tc>
          <w:tcPr>
            <w:tcW w:w="2268"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Яковлевский МР</w:t>
            </w:r>
          </w:p>
        </w:tc>
        <w:tc>
          <w:tcPr>
            <w:tcW w:w="113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7,76</w:t>
            </w:r>
          </w:p>
        </w:tc>
        <w:tc>
          <w:tcPr>
            <w:tcW w:w="9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31,92</w:t>
            </w:r>
          </w:p>
        </w:tc>
        <w:tc>
          <w:tcPr>
            <w:tcW w:w="99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4,11</w:t>
            </w:r>
          </w:p>
        </w:tc>
        <w:tc>
          <w:tcPr>
            <w:tcW w:w="1029"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20</w:t>
            </w:r>
          </w:p>
        </w:tc>
        <w:tc>
          <w:tcPr>
            <w:tcW w:w="2268"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Город Артем</w:t>
            </w:r>
          </w:p>
        </w:tc>
        <w:tc>
          <w:tcPr>
            <w:tcW w:w="113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9,89</w:t>
            </w:r>
          </w:p>
        </w:tc>
        <w:tc>
          <w:tcPr>
            <w:tcW w:w="9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301,26</w:t>
            </w:r>
          </w:p>
        </w:tc>
        <w:tc>
          <w:tcPr>
            <w:tcW w:w="99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30,47</w:t>
            </w:r>
          </w:p>
        </w:tc>
        <w:tc>
          <w:tcPr>
            <w:tcW w:w="1029"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21</w:t>
            </w:r>
          </w:p>
        </w:tc>
        <w:tc>
          <w:tcPr>
            <w:tcW w:w="2268"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Город Дальнегорск</w:t>
            </w:r>
          </w:p>
        </w:tc>
        <w:tc>
          <w:tcPr>
            <w:tcW w:w="113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7,82</w:t>
            </w:r>
          </w:p>
        </w:tc>
        <w:tc>
          <w:tcPr>
            <w:tcW w:w="9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33,20</w:t>
            </w:r>
          </w:p>
        </w:tc>
        <w:tc>
          <w:tcPr>
            <w:tcW w:w="99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4,25</w:t>
            </w:r>
          </w:p>
        </w:tc>
        <w:tc>
          <w:tcPr>
            <w:tcW w:w="1029"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22</w:t>
            </w:r>
          </w:p>
        </w:tc>
        <w:tc>
          <w:tcPr>
            <w:tcW w:w="2268"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Город Дальнереченск</w:t>
            </w:r>
          </w:p>
        </w:tc>
        <w:tc>
          <w:tcPr>
            <w:tcW w:w="113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7,30</w:t>
            </w:r>
          </w:p>
        </w:tc>
        <w:tc>
          <w:tcPr>
            <w:tcW w:w="9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185,32</w:t>
            </w:r>
          </w:p>
        </w:tc>
        <w:tc>
          <w:tcPr>
            <w:tcW w:w="99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25,39</w:t>
            </w:r>
          </w:p>
        </w:tc>
        <w:tc>
          <w:tcPr>
            <w:tcW w:w="1029"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23</w:t>
            </w:r>
          </w:p>
        </w:tc>
        <w:tc>
          <w:tcPr>
            <w:tcW w:w="2268"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Город Лесозаводск</w:t>
            </w:r>
          </w:p>
        </w:tc>
        <w:tc>
          <w:tcPr>
            <w:tcW w:w="113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7,21</w:t>
            </w:r>
          </w:p>
        </w:tc>
        <w:tc>
          <w:tcPr>
            <w:tcW w:w="9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33,93</w:t>
            </w:r>
          </w:p>
        </w:tc>
        <w:tc>
          <w:tcPr>
            <w:tcW w:w="99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33,27</w:t>
            </w:r>
          </w:p>
        </w:tc>
        <w:tc>
          <w:tcPr>
            <w:tcW w:w="1134"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4,70</w:t>
            </w:r>
          </w:p>
        </w:tc>
        <w:tc>
          <w:tcPr>
            <w:tcW w:w="1029"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24</w:t>
            </w:r>
          </w:p>
        </w:tc>
        <w:tc>
          <w:tcPr>
            <w:tcW w:w="2268"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Город Находка</w:t>
            </w:r>
          </w:p>
        </w:tc>
        <w:tc>
          <w:tcPr>
            <w:tcW w:w="113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11,76</w:t>
            </w:r>
          </w:p>
        </w:tc>
        <w:tc>
          <w:tcPr>
            <w:tcW w:w="9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204,98</w:t>
            </w:r>
          </w:p>
        </w:tc>
        <w:tc>
          <w:tcPr>
            <w:tcW w:w="99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17,43</w:t>
            </w:r>
          </w:p>
        </w:tc>
        <w:tc>
          <w:tcPr>
            <w:tcW w:w="1029"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25</w:t>
            </w:r>
          </w:p>
        </w:tc>
        <w:tc>
          <w:tcPr>
            <w:tcW w:w="2268"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Город Партизанск</w:t>
            </w:r>
          </w:p>
        </w:tc>
        <w:tc>
          <w:tcPr>
            <w:tcW w:w="113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7,06</w:t>
            </w:r>
          </w:p>
        </w:tc>
        <w:tc>
          <w:tcPr>
            <w:tcW w:w="9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c>
          <w:tcPr>
            <w:tcW w:w="1135"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99,49</w:t>
            </w:r>
          </w:p>
        </w:tc>
        <w:tc>
          <w:tcPr>
            <w:tcW w:w="99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14,10</w:t>
            </w:r>
          </w:p>
        </w:tc>
        <w:tc>
          <w:tcPr>
            <w:tcW w:w="1029"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26</w:t>
            </w:r>
          </w:p>
        </w:tc>
        <w:tc>
          <w:tcPr>
            <w:tcW w:w="2268"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sz w:val="24"/>
                <w:szCs w:val="24"/>
              </w:rPr>
            </w:pPr>
            <w:r>
              <w:rPr>
                <w:rFonts w:ascii="Times New Roman" w:hAnsi="Times New Roman"/>
                <w:sz w:val="24"/>
                <w:szCs w:val="24"/>
              </w:rPr>
              <w:t>Город Уссурийск</w:t>
            </w:r>
          </w:p>
        </w:tc>
        <w:tc>
          <w:tcPr>
            <w:tcW w:w="113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10,87</w:t>
            </w:r>
          </w:p>
        </w:tc>
        <w:tc>
          <w:tcPr>
            <w:tcW w:w="9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17,23</w:t>
            </w:r>
          </w:p>
        </w:tc>
        <w:tc>
          <w:tcPr>
            <w:tcW w:w="1135"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159,26</w:t>
            </w:r>
          </w:p>
        </w:tc>
        <w:tc>
          <w:tcPr>
            <w:tcW w:w="99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14,65</w:t>
            </w:r>
          </w:p>
        </w:tc>
        <w:tc>
          <w:tcPr>
            <w:tcW w:w="1029"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left="-57" w:right="-57" w:hanging="0"/>
              <w:jc w:val="center"/>
              <w:rPr>
                <w:rFonts w:ascii="Times New Roman" w:hAnsi="Times New Roman"/>
                <w:sz w:val="24"/>
                <w:szCs w:val="24"/>
              </w:rPr>
            </w:pPr>
            <w:r>
              <w:rPr>
                <w:rFonts w:ascii="Times New Roman" w:hAnsi="Times New Roman"/>
                <w:sz w:val="24"/>
                <w:szCs w:val="24"/>
              </w:rPr>
              <w:t>27</w:t>
            </w:r>
          </w:p>
        </w:tc>
        <w:tc>
          <w:tcPr>
            <w:tcW w:w="2268"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ind w:right="-57" w:hanging="57"/>
              <w:rPr>
                <w:rFonts w:ascii="Times New Roman" w:hAnsi="Times New Roman"/>
                <w:sz w:val="24"/>
                <w:szCs w:val="24"/>
              </w:rPr>
            </w:pPr>
            <w:r>
              <w:rPr>
                <w:rFonts w:ascii="Times New Roman" w:hAnsi="Times New Roman"/>
                <w:sz w:val="24"/>
                <w:szCs w:val="24"/>
              </w:rPr>
              <w:t>Город Фокино (ЗАТО)</w:t>
            </w:r>
          </w:p>
        </w:tc>
        <w:tc>
          <w:tcPr>
            <w:tcW w:w="113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7,08</w:t>
            </w:r>
          </w:p>
        </w:tc>
        <w:tc>
          <w:tcPr>
            <w:tcW w:w="992"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11,67</w:t>
            </w:r>
          </w:p>
        </w:tc>
        <w:tc>
          <w:tcPr>
            <w:tcW w:w="1135"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310,85</w:t>
            </w:r>
          </w:p>
        </w:tc>
        <w:tc>
          <w:tcPr>
            <w:tcW w:w="993"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134"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43,88</w:t>
            </w:r>
          </w:p>
        </w:tc>
        <w:tc>
          <w:tcPr>
            <w:tcW w:w="1029" w:type="dxa"/>
            <w:tcBorders>
              <w:top w:val="single" w:sz="8" w:space="0" w:color="4F81BD"/>
              <w:left w:val="single" w:sz="8" w:space="0" w:color="4F81BD"/>
              <w:bottom w:val="single" w:sz="8" w:space="0" w:color="4F81BD"/>
              <w:right w:val="single" w:sz="8" w:space="0" w:color="4F81BD"/>
            </w:tcBorders>
            <w:shd w:color="auto" w:fill="D3DFEE"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p>
        </w:tc>
      </w:tr>
      <w:tr>
        <w:trPr>
          <w:trHeight w:val="57" w:hRule="atLeast"/>
        </w:trPr>
        <w:tc>
          <w:tcPr>
            <w:tcW w:w="4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bCs/>
                <w:sz w:val="24"/>
                <w:szCs w:val="24"/>
              </w:rPr>
            </w:pPr>
            <w:r>
              <w:rPr>
                <w:rFonts w:ascii="Times New Roman" w:hAnsi="Times New Roman"/>
                <w:bCs/>
                <w:sz w:val="24"/>
                <w:szCs w:val="24"/>
              </w:rPr>
              <w:t>28</w:t>
            </w:r>
          </w:p>
        </w:tc>
        <w:tc>
          <w:tcPr>
            <w:tcW w:w="2268"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rPr>
                <w:rFonts w:ascii="Times New Roman" w:hAnsi="Times New Roman"/>
                <w:bCs/>
                <w:sz w:val="24"/>
                <w:szCs w:val="24"/>
              </w:rPr>
            </w:pPr>
            <w:r>
              <w:rPr>
                <w:rFonts w:ascii="Times New Roman" w:hAnsi="Times New Roman"/>
                <w:bCs/>
                <w:sz w:val="24"/>
                <w:szCs w:val="24"/>
              </w:rPr>
              <w:t>Среднее по Приморскому краю</w:t>
            </w:r>
          </w:p>
        </w:tc>
        <w:tc>
          <w:tcPr>
            <w:tcW w:w="113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bCs/>
                <w:sz w:val="24"/>
                <w:szCs w:val="24"/>
              </w:rPr>
            </w:pPr>
            <w:r>
              <w:rPr>
                <w:rFonts w:ascii="Times New Roman" w:hAnsi="Times New Roman"/>
                <w:bCs/>
                <w:sz w:val="24"/>
                <w:szCs w:val="24"/>
              </w:rPr>
              <w:t>7,94</w:t>
            </w:r>
          </w:p>
        </w:tc>
        <w:tc>
          <w:tcPr>
            <w:tcW w:w="992"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bCs/>
                <w:sz w:val="24"/>
                <w:szCs w:val="24"/>
              </w:rPr>
            </w:pPr>
            <w:r>
              <w:rPr>
                <w:rFonts w:ascii="Times New Roman" w:hAnsi="Times New Roman"/>
                <w:bCs/>
                <w:sz w:val="24"/>
                <w:szCs w:val="24"/>
              </w:rPr>
              <w:t>17,07</w:t>
            </w:r>
          </w:p>
        </w:tc>
        <w:tc>
          <w:tcPr>
            <w:tcW w:w="1135"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bCs/>
                <w:sz w:val="24"/>
                <w:szCs w:val="24"/>
              </w:rPr>
            </w:pPr>
            <w:r>
              <w:rPr>
                <w:rFonts w:ascii="Times New Roman" w:hAnsi="Times New Roman"/>
                <w:bCs/>
                <w:sz w:val="24"/>
                <w:szCs w:val="24"/>
              </w:rPr>
              <w:t>104,63</w:t>
            </w:r>
          </w:p>
        </w:tc>
        <w:tc>
          <w:tcPr>
            <w:tcW w:w="993"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bCs/>
                <w:sz w:val="24"/>
                <w:szCs w:val="24"/>
              </w:rPr>
            </w:pPr>
            <w:r>
              <w:rPr>
                <w:rFonts w:ascii="Times New Roman" w:hAnsi="Times New Roman"/>
                <w:bCs/>
                <w:sz w:val="24"/>
                <w:szCs w:val="24"/>
              </w:rPr>
              <w:t>92,93</w:t>
            </w:r>
          </w:p>
        </w:tc>
        <w:tc>
          <w:tcPr>
            <w:tcW w:w="1134"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bCs/>
                <w:sz w:val="24"/>
                <w:szCs w:val="24"/>
              </w:rPr>
            </w:pPr>
            <w:r>
              <w:rPr>
                <w:rFonts w:ascii="Times New Roman" w:hAnsi="Times New Roman"/>
                <w:bCs/>
                <w:sz w:val="24"/>
                <w:szCs w:val="24"/>
              </w:rPr>
              <w:t>13,17</w:t>
            </w:r>
          </w:p>
        </w:tc>
        <w:tc>
          <w:tcPr>
            <w:tcW w:w="1029" w:type="dxa"/>
            <w:tcBorders>
              <w:top w:val="single" w:sz="8" w:space="0" w:color="4F81BD"/>
              <w:left w:val="single" w:sz="8" w:space="0" w:color="4F81BD"/>
              <w:bottom w:val="single" w:sz="8" w:space="0" w:color="4F81BD"/>
              <w:right w:val="single" w:sz="8" w:space="0" w:color="4F81BD"/>
            </w:tcBorders>
            <w:shd w:color="auto" w:fill="auto" w:val="clear"/>
            <w:vAlign w:val="center"/>
          </w:tcPr>
          <w:p>
            <w:pPr>
              <w:pStyle w:val="Normal"/>
              <w:widowControl w:val="false"/>
              <w:spacing w:lineRule="auto" w:line="240" w:before="0" w:after="0"/>
              <w:ind w:left="-57" w:right="-57" w:hanging="0"/>
              <w:jc w:val="center"/>
              <w:rPr>
                <w:rFonts w:ascii="Times New Roman" w:hAnsi="Times New Roman"/>
                <w:bCs/>
                <w:sz w:val="24"/>
                <w:szCs w:val="24"/>
              </w:rPr>
            </w:pPr>
            <w:r>
              <w:rPr>
                <w:rFonts w:ascii="Times New Roman" w:hAnsi="Times New Roman"/>
                <w:bCs/>
                <w:sz w:val="24"/>
                <w:szCs w:val="24"/>
              </w:rPr>
              <w:t>5,44</w:t>
            </w:r>
          </w:p>
        </w:tc>
      </w:tr>
    </w:tbl>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Анализ результатов государственной кадастровой оценки земель садоводческих, огороднических и дачных объединений Приморского края на 01.02.2015 показывает, что среднее значение УПКС по садоводческим и огородническим объединениям составило 104,63 руб./м</w:t>
      </w:r>
      <w:r>
        <w:rPr>
          <w:rFonts w:ascii="Times New Roman" w:hAnsi="Times New Roman"/>
          <w:sz w:val="28"/>
          <w:szCs w:val="28"/>
          <w:vertAlign w:val="superscript"/>
        </w:rPr>
        <w:t>2</w:t>
      </w:r>
      <w:r>
        <w:rPr>
          <w:rFonts w:ascii="Times New Roman" w:hAnsi="Times New Roman"/>
          <w:sz w:val="28"/>
          <w:szCs w:val="28"/>
        </w:rPr>
        <w:t>, средний УПКС по дачным объединениям – 92,93 руб./м</w:t>
      </w:r>
      <w:r>
        <w:rPr>
          <w:rFonts w:ascii="Times New Roman" w:hAnsi="Times New Roman"/>
          <w:sz w:val="28"/>
          <w:szCs w:val="28"/>
          <w:vertAlign w:val="superscript"/>
        </w:rPr>
        <w:t>2</w:t>
      </w:r>
      <w:r>
        <w:rPr>
          <w:rFonts w:ascii="Times New Roman" w:hAnsi="Times New Roman"/>
          <w:sz w:val="28"/>
          <w:szCs w:val="28"/>
        </w:rPr>
        <w:t>.</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Заметно, что за 7 лет, прошедших со времени прошлого тура кадастровой оценки (2008 год), на земельном рынке края произошли изменения, которые проявились в различии результатов прошлого и нынешнего туров.</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 xml:space="preserve">По всем муниципальным районам и городским округам Приморского края наблюдается существенный рост средних значений УПКС, который согласуется с произошедшими за этот же период ценовыми изменениями на земельном рынке края. </w:t>
      </w:r>
    </w:p>
    <w:p>
      <w:pPr>
        <w:pStyle w:val="Normal"/>
        <w:shd w:val="clear" w:color="auto" w:fill="FFFFFF"/>
        <w:spacing w:lineRule="auto" w:line="240" w:before="0" w:afterAutospacing="1"/>
        <w:ind w:firstLine="567"/>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Особенно сильно УПКС садовых и огороднических объединений увеличился в ЗАТО Фокино – в 43,88 раз, в Надеждинском муниципальном районе - в 29,04 раз, в городах Артеме – в 30,47 раз, Дальнереченске – в 25,39 раз. По дачным объединениям в среднем по краю значение УПКС увеличилось в 5,44 раз.</w:t>
      </w:r>
    </w:p>
    <w:p>
      <w:pPr>
        <w:pStyle w:val="Normal"/>
        <w:shd w:val="clear" w:color="auto" w:fill="FFFFFF"/>
        <w:spacing w:lineRule="auto" w:line="240" w:before="0" w:afterAutospacing="1"/>
        <w:ind w:firstLine="567"/>
        <w:contextualSpacing/>
        <w:jc w:val="both"/>
        <w:rPr>
          <w:rFonts w:ascii="Times New Roman" w:hAnsi="Times New Roman" w:eastAsia="" w:cs="" w:cstheme="majorBidi" w:eastAsiaTheme="majorEastAsia"/>
          <w:sz w:val="28"/>
          <w:szCs w:val="28"/>
          <w:lang w:eastAsia="en-US" w:bidi="en-US"/>
        </w:rPr>
      </w:pPr>
      <w:r>
        <w:rPr>
          <w:rFonts w:eastAsia="" w:cs="" w:ascii="Times New Roman" w:hAnsi="Times New Roman" w:cstheme="majorBidi" w:eastAsiaTheme="majorEastAsia"/>
          <w:sz w:val="28"/>
          <w:szCs w:val="28"/>
          <w:lang w:eastAsia="en-US" w:bidi="en-US"/>
        </w:rPr>
        <w:t xml:space="preserve">Результаты, полученные в ходе актуализации государственной кадастровой оценки земель садоводческих, огороднических и дачных объединений, </w:t>
      </w:r>
      <w:r>
        <w:rPr>
          <w:rFonts w:eastAsia="" w:cs="" w:ascii="Times New Roman" w:hAnsi="Times New Roman" w:cstheme="majorBidi" w:eastAsiaTheme="majorEastAsia"/>
          <w:sz w:val="28"/>
          <w:szCs w:val="28"/>
          <w:lang w:bidi="en-US"/>
        </w:rPr>
        <w:t>утверждены постановлением департамента земельных и имущественных отношений Приморского края от 07.12.2015 №</w:t>
      </w:r>
      <w:r>
        <w:rPr>
          <w:rFonts w:eastAsia="" w:cs="" w:ascii="Times New Roman" w:hAnsi="Times New Roman" w:cstheme="majorBidi" w:eastAsiaTheme="majorEastAsia"/>
          <w:sz w:val="28"/>
          <w:szCs w:val="28"/>
          <w:lang w:val="en-US" w:bidi="en-US"/>
        </w:rPr>
        <w:t> </w:t>
      </w:r>
      <w:r>
        <w:rPr>
          <w:rFonts w:eastAsia="" w:cs="" w:ascii="Times New Roman" w:hAnsi="Times New Roman" w:cstheme="majorBidi" w:eastAsiaTheme="majorEastAsia"/>
          <w:sz w:val="28"/>
          <w:szCs w:val="28"/>
          <w:lang w:bidi="en-US"/>
        </w:rPr>
        <w:t>4-п «Об утверждении результатов определения кадастровой стоимости земельных участков в составе земель сельскохозяйственного назначения Приморского края, в том числе земельных участков в составе садоводческих, огороднических и дачных объединений Приморского края».</w:t>
      </w:r>
    </w:p>
    <w:p>
      <w:pPr>
        <w:pStyle w:val="Normal"/>
        <w:numPr>
          <w:ilvl w:val="0"/>
          <w:numId w:val="0"/>
        </w:numPr>
        <w:spacing w:lineRule="auto" w:line="240" w:before="0" w:after="240"/>
        <w:jc w:val="center"/>
        <w:outlineLvl w:val="3"/>
        <w:rPr>
          <w:rFonts w:ascii="Times New Roman" w:hAnsi="Times New Roman" w:eastAsia="Times New Roman" w:cs="Times New Roman"/>
          <w:b/>
          <w:b/>
          <w:bCs/>
          <w:spacing w:val="5"/>
          <w:sz w:val="20"/>
          <w:szCs w:val="20"/>
          <w:lang w:eastAsia="en-US" w:bidi="en-US"/>
        </w:rPr>
      </w:pPr>
      <w:r>
        <w:rPr>
          <w:rFonts w:eastAsia="Times New Roman" w:cs="Times New Roman" w:ascii="Times New Roman" w:hAnsi="Times New Roman"/>
          <w:b/>
          <w:bCs/>
          <w:spacing w:val="5"/>
          <w:sz w:val="20"/>
          <w:szCs w:val="20"/>
          <w:lang w:eastAsia="en-US" w:bidi="en-US"/>
        </w:rPr>
      </w:r>
    </w:p>
    <w:p>
      <w:pPr>
        <w:pStyle w:val="Normal"/>
        <w:numPr>
          <w:ilvl w:val="0"/>
          <w:numId w:val="0"/>
        </w:numPr>
        <w:spacing w:lineRule="auto" w:line="240" w:before="0" w:after="240"/>
        <w:jc w:val="center"/>
        <w:outlineLvl w:val="3"/>
        <w:rPr>
          <w:rFonts w:ascii="Times New Roman" w:hAnsi="Times New Roman" w:eastAsia="Times New Roman" w:cs="Times New Roman"/>
          <w:b/>
          <w:b/>
          <w:bCs/>
          <w:spacing w:val="5"/>
          <w:sz w:val="28"/>
          <w:szCs w:val="28"/>
          <w:lang w:eastAsia="en-US" w:bidi="en-US"/>
        </w:rPr>
      </w:pPr>
      <w:r>
        <w:rPr>
          <w:rFonts w:eastAsia="Times New Roman" w:cs="Times New Roman" w:ascii="Times New Roman" w:hAnsi="Times New Roman"/>
          <w:b/>
          <w:bCs/>
          <w:spacing w:val="5"/>
          <w:sz w:val="28"/>
          <w:szCs w:val="28"/>
          <w:lang w:eastAsia="en-US" w:bidi="en-US"/>
        </w:rPr>
        <w:t xml:space="preserve"> </w:t>
      </w:r>
      <w:r>
        <w:rPr>
          <w:rFonts w:eastAsia="Times New Roman" w:cs="Times New Roman" w:ascii="Times New Roman" w:hAnsi="Times New Roman"/>
          <w:b/>
          <w:bCs/>
          <w:spacing w:val="5"/>
          <w:sz w:val="28"/>
          <w:szCs w:val="28"/>
          <w:lang w:eastAsia="en-US" w:bidi="en-US"/>
        </w:rPr>
        <w:t>Земли населенных пунктов</w:t>
      </w:r>
    </w:p>
    <w:p>
      <w:pPr>
        <w:pStyle w:val="Normal"/>
        <w:widowControl w:val="fals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Работы по государственной кадастровой оценке земельных участков в составе земель населенных пунктов проводились на территории Приморского края в 2015 году на основании приказа департамента земельных и имущественных отношений Приморского края от 16.03.2015 № 77 «О проведении государственной кадастровой оценки земель на территории Приморского края в 2015 году».</w:t>
      </w:r>
    </w:p>
    <w:p>
      <w:pPr>
        <w:pStyle w:val="Normal"/>
        <w:widowControl w:val="fals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 xml:space="preserve">Предыдущая  государственная кадастровая оценка земель населенных пунктов Приморского края проводилась в 2010 году в разрезе 16 видов разрешенного использования по методике, утвержденной в 2007 году. </w:t>
      </w:r>
    </w:p>
    <w:p>
      <w:pPr>
        <w:pStyle w:val="Normal"/>
        <w:widowControl w:val="fals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 xml:space="preserve">Государственная кадастровая оценка земельных участков земель населенных пунктов в 2015 году проводилась в разрезе 17 видов разрешенного использования. Всего по населенным пунктам Приморского края было оценено 470 474 земельных участка, в том числе земельных участков с более чем одним видом разрешенного использования – 1 607,  сведения о которых содержались в государственном кадастре недвижимости по состоянию на 01.02.2015. </w:t>
      </w:r>
    </w:p>
    <w:p>
      <w:pPr>
        <w:pStyle w:val="Normal"/>
        <w:spacing w:lineRule="auto" w:line="240" w:before="0" w:after="0"/>
        <w:ind w:firstLine="567"/>
        <w:jc w:val="both"/>
        <w:rPr>
          <w:rFonts w:ascii="Times New Roman" w:hAnsi="Times New Roman" w:eastAsia="Times New Roman" w:cs="Times New Roman"/>
          <w:spacing w:val="-1"/>
          <w:sz w:val="28"/>
          <w:szCs w:val="28"/>
        </w:rPr>
      </w:pPr>
      <w:r>
        <w:rPr>
          <w:rFonts w:eastAsia="Times New Roman" w:cs="Times New Roman" w:ascii="Times New Roman" w:hAnsi="Times New Roman"/>
          <w:spacing w:val="-1"/>
          <w:sz w:val="28"/>
          <w:szCs w:val="28"/>
        </w:rPr>
        <w:t>С момента проведения прошлой оценки земель населенных пунктов (2010 год) цены на недвижимость в Приморском крае изменились. Государственная кадастровая оценка земель населенных пунктов базируется на реальных рыночных ценах на объекты недвижимости и поэтому показатели удельной стоимости земли также изменились по сравнению с прошлой оценкой.</w:t>
      </w:r>
      <w:r>
        <w:rPr>
          <w:rFonts w:eastAsia="Times New Roman" w:cs="Times New Roman" w:ascii="Times New Roman" w:hAnsi="Times New Roman"/>
          <w:sz w:val="28"/>
          <w:szCs w:val="28"/>
        </w:rPr>
        <w:t xml:space="preserve"> Применение реальных рыночных данных, отражающих спрос и предложение на рынке недвижимости, индивидуальный подход к оценке каждого участка (расчет индивидуальных факторов стоимости) существенным образом изменили уровень и перераспределили кадастровую стоимость земельных участков. </w:t>
      </w:r>
    </w:p>
    <w:p>
      <w:pPr>
        <w:pStyle w:val="Normal"/>
        <w:spacing w:lineRule="auto" w:line="240" w:before="0" w:after="0"/>
        <w:ind w:firstLine="567"/>
        <w:jc w:val="both"/>
        <w:rPr>
          <w:rFonts w:ascii="Times New Roman" w:hAnsi="Times New Roman" w:eastAsia="Times New Roman" w:cs="Times New Roman"/>
          <w:spacing w:val="-1"/>
          <w:sz w:val="28"/>
          <w:szCs w:val="28"/>
        </w:rPr>
      </w:pPr>
      <w:r>
        <w:rPr>
          <w:rFonts w:eastAsia="Times New Roman" w:cs="Times New Roman" w:ascii="Times New Roman" w:hAnsi="Times New Roman"/>
          <w:sz w:val="28"/>
          <w:szCs w:val="28"/>
        </w:rPr>
        <w:t>Основной причиной изменения кадастровой стоимости за прошедший период является изменение ситуации на рынке недвижимости, а также изменение Методических подходов в определении кадастровой стоимости земельных участков в составе земель населенных пунктов.</w:t>
      </w:r>
    </w:p>
    <w:p>
      <w:pPr>
        <w:pStyle w:val="Normal"/>
        <w:spacing w:lineRule="auto" w:line="24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При построении модели оценки Оценщики использовали ценовую информацию, соответствующую сложившемуся уровню рыночных цен (ФСО № 4). Все изменения в уровне стоимости земель по сравнению с </w:t>
        <w:br/>
        <w:t xml:space="preserve">2010 годом можно объяснить развитием рынка купли продажи земельных участков, в частности отсутствием в 2010 году значительного количества предложений по продаже земельных участков в Приморском крае, что привело к различию в применяемых методиках оценки (2010 г. и 2015 г.). Так, в 2010 году расчеты, как правило, строились на выделении из стоимости единого объекта недвижимости (здания с земельным участком) стоимости, приходящейся на земельный участок, а также информации о сделках, предоставленной Россреестром, а в 2015 году большая часть аналогов, участвующих в расчетах и анализе, представляют собой рыночные предложения публичной оферты. </w:t>
      </w:r>
    </w:p>
    <w:p>
      <w:pPr>
        <w:pStyle w:val="Normal"/>
        <w:spacing w:lineRule="auto" w:line="240" w:before="0" w:after="0"/>
        <w:ind w:firstLine="567"/>
        <w:jc w:val="both"/>
        <w:rPr>
          <w:rFonts w:ascii="Times New Roman" w:hAnsi="Times New Roman" w:eastAsia="Times New Roman" w:cs="Times New Roman"/>
          <w:spacing w:val="-1"/>
          <w:sz w:val="28"/>
          <w:szCs w:val="28"/>
        </w:rPr>
      </w:pPr>
      <w:r>
        <w:rPr>
          <w:rFonts w:eastAsia="Times New Roman" w:cs="Times New Roman" w:ascii="Times New Roman" w:hAnsi="Times New Roman"/>
          <w:spacing w:val="-1"/>
          <w:sz w:val="28"/>
          <w:szCs w:val="28"/>
        </w:rPr>
        <w:t>Анализируя изменения цен по земельным участкам, предназначенным для размещения домов среднеэтажной и многоэтажной жилой застройки (ВРИ-1), наблюдается значительное снижение, что объясняется изменением метода оценки: так, в 2010 году оценка земельных участков ВРИ-1 производилась методом выделения (из цен квартир), а в 2015 году оценка производилась методом сравнения рыночных цен (методом статистического моделирования на основании цен на земельные участки). Метод оценки 2015 года наиболее точно отражает рыночную ситуацию на рынке земельных участков, поскольку отражает фактические цены, сложившиеся на рынке, в отличие от метода выделения, который рекомендован для застроенных земельных участков при наличии полной информации о находящихся на них объектах недвижимости, при отсутствии которой данный метод дает большую погрешность.</w:t>
      </w:r>
    </w:p>
    <w:p>
      <w:pPr>
        <w:pStyle w:val="Normal"/>
        <w:spacing w:lineRule="auto" w:line="240" w:before="0" w:after="0"/>
        <w:ind w:firstLine="567"/>
        <w:jc w:val="both"/>
        <w:rPr>
          <w:rFonts w:ascii="Times New Roman" w:hAnsi="Times New Roman" w:eastAsia="Times New Roman" w:cs="Times New Roman"/>
          <w:spacing w:val="-1"/>
          <w:sz w:val="28"/>
          <w:szCs w:val="28"/>
        </w:rPr>
      </w:pPr>
      <w:r>
        <w:rPr>
          <w:rFonts w:eastAsia="Times New Roman" w:cs="Times New Roman" w:ascii="Times New Roman" w:hAnsi="Times New Roman"/>
          <w:spacing w:val="-1"/>
          <w:sz w:val="28"/>
          <w:szCs w:val="28"/>
        </w:rPr>
        <w:t xml:space="preserve">В отношении цен на земельные участки, предназначенные для размещения домов малоэтажной жилой застройки, в том числе индивидуальной жилой застройки (ВРИ-2), и на земельные участки, предназначенные для дачного строительства, садоводства и огородничества (ВРИ-4), по всем населенным пунктам Приморского края наблюдается повышение цен в среднем примерно в 3 раза, что объясняется различием рынка земельных участков под индивидуальное жилищное строительство и соответственно ростом рыночных цен на земельные участки данных видов разрешенного использования. Более значительное повышение цен в 4-8 раз наблюдается в Надеждинском и Михайловском районах, что связано с развитием данных территорий в связи со строительством транспортных развязок (объектов Саммита АТЭС, реконструкция автомобильной дороги М-60 «Уссури» Хабаровск – Владивосток). </w:t>
      </w:r>
    </w:p>
    <w:p>
      <w:pPr>
        <w:pStyle w:val="Normal"/>
        <w:widowControl w:val="false"/>
        <w:spacing w:lineRule="auto" w:line="240" w:before="0" w:after="0"/>
        <w:ind w:firstLine="540"/>
        <w:jc w:val="both"/>
        <w:rPr>
          <w:rFonts w:ascii="Times New Roman" w:hAnsi="Times New Roman" w:eastAsia="Times New Roman" w:cs="Times New Roman"/>
          <w:spacing w:val="-1"/>
          <w:sz w:val="28"/>
          <w:szCs w:val="28"/>
        </w:rPr>
      </w:pPr>
      <w:r>
        <w:rPr>
          <w:rFonts w:eastAsia="Times New Roman" w:cs="Times New Roman" w:ascii="Times New Roman" w:hAnsi="Times New Roman"/>
          <w:spacing w:val="-1"/>
          <w:sz w:val="28"/>
          <w:szCs w:val="28"/>
        </w:rPr>
        <w:t xml:space="preserve">По земельным участкам, </w:t>
      </w:r>
      <w:r>
        <w:rPr>
          <w:rFonts w:eastAsia="Calibri" w:cs="Times New Roman" w:ascii="Times New Roman" w:hAnsi="Times New Roman"/>
          <w:sz w:val="28"/>
          <w:szCs w:val="28"/>
        </w:rPr>
        <w:t>предназначенным для размещения гаражей и автостоянок (</w:t>
      </w:r>
      <w:r>
        <w:rPr>
          <w:rFonts w:eastAsia="Times New Roman" w:cs="Times New Roman" w:ascii="Times New Roman" w:hAnsi="Times New Roman"/>
          <w:spacing w:val="-1"/>
          <w:sz w:val="28"/>
          <w:szCs w:val="28"/>
        </w:rPr>
        <w:t xml:space="preserve">ВРИ-3), </w:t>
      </w:r>
      <w:r>
        <w:rPr>
          <w:rFonts w:eastAsia="Calibri" w:cs="Times New Roman" w:ascii="Times New Roman" w:hAnsi="Times New Roman"/>
          <w:sz w:val="28"/>
          <w:szCs w:val="28"/>
        </w:rPr>
        <w:t>для размещения объектов торговли, общественного питания и бытового обслуживания (ВРИ-5), для размещения гостиниц (ВРИ-6), для размещения офисных зданий делового и коммерческого назначения (ВРИ-7), для размещения объектов рекреационного и лечебно-оздоровительного назначения (ВРИ-8),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 (ВРИ-9), для размещения электростанций, обслуживающих их сооружений и объектов (ВРИ-10), для размещения портов, водных, железнодорожных вокзалов, автодорожных вокзалов, аэропортов, аэродромов, аэровокзалов (ВРИ-11),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военных объектов (ВРИ-13)</w:t>
      </w:r>
      <w:r>
        <w:rPr>
          <w:rFonts w:eastAsia="Times New Roman" w:cs="Times New Roman" w:ascii="Times New Roman" w:hAnsi="Times New Roman"/>
          <w:spacing w:val="-1"/>
          <w:sz w:val="28"/>
          <w:szCs w:val="28"/>
        </w:rPr>
        <w:t xml:space="preserve"> в среднем наблюдается увеличение кадастровой стоимости, что отражает реальная ситуация на рынке земельных участков.</w:t>
      </w:r>
    </w:p>
    <w:p>
      <w:pPr>
        <w:pStyle w:val="Normal"/>
        <w:widowControl w:val="false"/>
        <w:spacing w:lineRule="auto" w:line="240" w:before="0" w:after="0"/>
        <w:ind w:firstLine="540"/>
        <w:jc w:val="both"/>
        <w:rPr>
          <w:rFonts w:ascii="Times New Roman" w:hAnsi="Times New Roman" w:eastAsia="Times New Roman" w:cs="Times New Roman"/>
          <w:spacing w:val="-1"/>
          <w:sz w:val="28"/>
          <w:szCs w:val="28"/>
        </w:rPr>
      </w:pPr>
      <w:r>
        <w:rPr>
          <w:rFonts w:eastAsia="Times New Roman" w:cs="Times New Roman" w:ascii="Times New Roman" w:hAnsi="Times New Roman"/>
          <w:spacing w:val="-1"/>
          <w:sz w:val="28"/>
          <w:szCs w:val="28"/>
        </w:rPr>
        <w:t xml:space="preserve">Цены на земельные участки, </w:t>
      </w:r>
      <w:r>
        <w:rPr>
          <w:rFonts w:eastAsia="Calibri" w:cs="Times New Roman" w:ascii="Times New Roman" w:hAnsi="Times New Roman"/>
          <w:sz w:val="28"/>
          <w:szCs w:val="28"/>
        </w:rPr>
        <w:t xml:space="preserve">занятые особо охраняемыми территориями и объектами, городскими лесами, скверами, парками, городскими садами </w:t>
      </w:r>
      <w:r>
        <w:rPr>
          <w:rFonts w:eastAsia="Times New Roman" w:cs="Times New Roman" w:ascii="Times New Roman" w:hAnsi="Times New Roman"/>
          <w:spacing w:val="-1"/>
          <w:sz w:val="28"/>
          <w:szCs w:val="28"/>
        </w:rPr>
        <w:t xml:space="preserve"> (ВРИ-14), </w:t>
      </w:r>
      <w:r>
        <w:rPr>
          <w:rFonts w:eastAsia="Calibri" w:cs="Times New Roman" w:ascii="Times New Roman" w:hAnsi="Times New Roman"/>
          <w:sz w:val="28"/>
          <w:szCs w:val="28"/>
        </w:rPr>
        <w:t>предназначенные для сельскохозяйственного использования (ВРИ-15)</w:t>
      </w:r>
      <w:r>
        <w:rPr>
          <w:rFonts w:eastAsia="Times New Roman" w:cs="Times New Roman" w:ascii="Times New Roman" w:hAnsi="Times New Roman"/>
          <w:spacing w:val="-1"/>
          <w:sz w:val="28"/>
          <w:szCs w:val="28"/>
        </w:rPr>
        <w:t xml:space="preserve"> остались на том же уровне (методика расчета не изменилась).</w:t>
      </w:r>
    </w:p>
    <w:p>
      <w:pPr>
        <w:pStyle w:val="Normal"/>
        <w:spacing w:lineRule="auto" w:line="240" w:before="0" w:after="0"/>
        <w:ind w:firstLine="567"/>
        <w:jc w:val="both"/>
        <w:rPr>
          <w:rFonts w:ascii="Times New Roman" w:hAnsi="Times New Roman" w:eastAsia="Times New Roman" w:cs="Times New Roman"/>
          <w:spacing w:val="-1"/>
          <w:sz w:val="28"/>
          <w:szCs w:val="28"/>
        </w:rPr>
      </w:pPr>
      <w:r>
        <w:rPr>
          <w:rFonts w:eastAsia="Times New Roman" w:cs="Times New Roman" w:ascii="Times New Roman" w:hAnsi="Times New Roman"/>
          <w:spacing w:val="-1"/>
          <w:sz w:val="28"/>
          <w:szCs w:val="28"/>
        </w:rPr>
        <w:t xml:space="preserve">В целом наблюдается неравномерное изменение кадастровой стоимости по всем видам разрешенного использования на территории Приморского края, однако в связи с увеличением количества земельных участков увеличилась и налогооблагаемая база в сравнении с 2010 годом. </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В таблице 23 представлено изменение величины удельных показателей кадастровой стоимости земель населенных пунктов в разрезе муниципальных образований Приморского края, актуализированных в ходе работ по государственной кадастровой оценке по сравнению с удельными показателями кадастровой стоимости земли, полученными в предыдущем туре оценки.</w:t>
      </w:r>
    </w:p>
    <w:p>
      <w:pPr>
        <w:pStyle w:val="Normal"/>
        <w:spacing w:lineRule="auto" w:line="240" w:before="0" w:after="0"/>
        <w:ind w:firstLine="567"/>
        <w:jc w:val="right"/>
        <w:rPr>
          <w:rFonts w:ascii="Times New Roman" w:hAnsi="Times New Roman"/>
          <w:sz w:val="24"/>
          <w:szCs w:val="24"/>
        </w:rPr>
      </w:pPr>
      <w:r>
        <w:rPr>
          <w:rFonts w:ascii="Times New Roman" w:hAnsi="Times New Roman"/>
          <w:sz w:val="24"/>
          <w:szCs w:val="24"/>
        </w:rPr>
        <w:t>Таблица 23</w:t>
      </w:r>
    </w:p>
    <w:tbl>
      <w:tblPr>
        <w:tblW w:w="9526" w:type="dxa"/>
        <w:jc w:val="left"/>
        <w:tblInd w:w="0" w:type="dxa"/>
        <w:tblLayout w:type="fixed"/>
        <w:tblCellMar>
          <w:top w:w="28" w:type="dxa"/>
          <w:left w:w="28" w:type="dxa"/>
          <w:bottom w:w="28" w:type="dxa"/>
          <w:right w:w="28" w:type="dxa"/>
        </w:tblCellMar>
        <w:tblLook w:val="00a0" w:noHBand="0" w:noVBand="0" w:firstColumn="1" w:lastRow="0" w:lastColumn="0" w:firstRow="1"/>
      </w:tblPr>
      <w:tblGrid>
        <w:gridCol w:w="421"/>
        <w:gridCol w:w="2726"/>
        <w:gridCol w:w="2267"/>
        <w:gridCol w:w="2410"/>
        <w:gridCol w:w="1702"/>
      </w:tblGrid>
      <w:tr>
        <w:trPr>
          <w:trHeight w:val="812" w:hRule="atLeast"/>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 xml:space="preserve">№ </w:t>
            </w:r>
            <w:r>
              <w:rPr>
                <w:rFonts w:ascii="Times New Roman" w:hAnsi="Times New Roman"/>
              </w:rPr>
              <w:t>п/п</w:t>
            </w:r>
          </w:p>
        </w:tc>
        <w:tc>
          <w:tcPr>
            <w:tcW w:w="27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Муниципальное образование</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bCs/>
              </w:rPr>
            </w:pPr>
            <w:r>
              <w:rPr>
                <w:rFonts w:ascii="Times New Roman" w:hAnsi="Times New Roman"/>
                <w:bCs/>
              </w:rPr>
              <w:t>УПКС ЗУ (2015 год), руб./ кв. м.</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bCs/>
              </w:rPr>
            </w:pPr>
            <w:r>
              <w:rPr>
                <w:rFonts w:ascii="Times New Roman" w:hAnsi="Times New Roman"/>
                <w:bCs/>
              </w:rPr>
              <w:t>УПКС ЗУ (2010 год), руб./ кв. м.</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bCs/>
              </w:rPr>
            </w:pPr>
            <w:r>
              <w:rPr>
                <w:rFonts w:ascii="Times New Roman" w:hAnsi="Times New Roman"/>
                <w:bCs/>
              </w:rPr>
              <w:t>Коэффициент (2015/2010)</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Анучинский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94,40</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color w:val="000000"/>
              </w:rPr>
              <w:t>70.82</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1.33</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Дальнереченский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70,78</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32.93</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2.15</w:t>
            </w:r>
          </w:p>
        </w:tc>
      </w:tr>
      <w:tr>
        <w:trPr>
          <w:trHeight w:val="184" w:hRule="atLeast"/>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Дальнегорский ГО</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342,56</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373.91</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0.92</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4</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Кавалеровский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255,50</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313.26</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0.82</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5</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Кировский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178,34</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206.17</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0.87</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6</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Красноармейский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73,69</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91.25</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0.81</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7</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Лазовский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117,04</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174.44</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0.67</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8</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Лесозаводский ГО</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235,69</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247.43</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0.95</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9</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Михайловский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260,03</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148.42</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1.75</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10</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Надеждинский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434,39</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105.26</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4.13</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11</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Октябрьский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333,12</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171.16</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1.95</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12</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Ольгинский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95,19</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127.81</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0.74</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13</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Партизанский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258,59</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74.11</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3.49</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14</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Пограничный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99,51</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70.02</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1.42</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15</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Пожарский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212,96</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215.45</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0.99</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16</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ГО Спасск-Дальний</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461,66</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433.34</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1.07</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17</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Тернейский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157,73</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376.71</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0.42</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18</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Ханкайский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208,37</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159.59</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1.31</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19</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Хасанский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290,91</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234.68</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1.24</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20</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Хорольский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243,4</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173</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1.41</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21</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Черниговский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145,04</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136.59</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1.06</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22</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Чугуевский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142,25</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134.25</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1.06</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23</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Шкотовский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294,72</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377.55</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0.78</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24</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Яковлевский МР</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106,8</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70.61</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1.51</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25</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Арсеньевский ГО</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366,54</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432.73</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0.85</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26</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Артемовский ГО</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758,37</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644.39</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1.18</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27</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Владивостокский ГО</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1963,74</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2954.67</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0.66</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28</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Дальнереченский ГО</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249,50</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246.57</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1.01</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29</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Находкинский ГО</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1192,02</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1212.14</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0.98</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30</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Партизанский ГО</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162,01</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188.41</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0.86</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31</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Уссурийский ГО</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672,89</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708.45</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0.95</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32</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ГО Большой Камень</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643,29</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582.09</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1.1</w:t>
            </w:r>
          </w:p>
        </w:tc>
      </w:tr>
      <w:tr>
        <w:trPr/>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33</w:t>
            </w:r>
          </w:p>
        </w:tc>
        <w:tc>
          <w:tcPr>
            <w:tcW w:w="27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rPr>
            </w:pPr>
            <w:r>
              <w:rPr>
                <w:rFonts w:ascii="Times New Roman" w:hAnsi="Times New Roman"/>
              </w:rPr>
              <w:t>ГО Фокино (ЗАТО)</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377,56</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589.33</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0.64</w:t>
            </w:r>
          </w:p>
        </w:tc>
      </w:tr>
    </w:tbl>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Результаты государственной кадастровой оценки земель населенных пунктов Приморского края утверждены постановлением департамента земельных и имущественных отношений Приморского края от 14.12.2015 № 5-п «Об утверждении результатов определения кадастровой стоимости земельных участков в составе земель населенных пунктов Приморского края».</w:t>
      </w:r>
    </w:p>
    <w:p>
      <w:pPr>
        <w:pStyle w:val="Normal"/>
        <w:widowControl w:val="false"/>
        <w:spacing w:lineRule="auto" w:line="240" w:before="0" w:after="0"/>
        <w:ind w:firstLine="567"/>
        <w:jc w:val="both"/>
        <w:rPr>
          <w:rFonts w:ascii="Times New Roman" w:hAnsi="Times New Roman"/>
          <w:sz w:val="28"/>
          <w:szCs w:val="28"/>
        </w:rPr>
      </w:pPr>
      <w:r>
        <w:rPr>
          <w:rFonts w:ascii="Times New Roman" w:hAnsi="Times New Roman"/>
          <w:sz w:val="28"/>
          <w:szCs w:val="28"/>
        </w:rPr>
        <w:t xml:space="preserve">Сравнительный анализ по группам видов разрешенного использования земельных участков представлен в таблице приложения 18. </w:t>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 w:cstheme="majorBidi" w:eastAsiaTheme="majorEastAsia" w:ascii="Times New Roman" w:hAnsi="Times New Roman"/>
          <w:b/>
          <w:sz w:val="28"/>
          <w:szCs w:val="28"/>
          <w:lang w:eastAsia="en-US" w:bidi="en-US"/>
        </w:rPr>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 w:ascii="Times New Roman" w:hAnsi="Times New Roman" w:cstheme="majorBidi" w:eastAsiaTheme="majorEastAsia"/>
          <w:b/>
          <w:sz w:val="28"/>
          <w:szCs w:val="28"/>
          <w:lang w:eastAsia="en-US" w:bidi="en-US"/>
        </w:rPr>
        <w:t xml:space="preserve">Земли промышленности, энергетики, транспорта, связи, </w:t>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 w:ascii="Times New Roman" w:hAnsi="Times New Roman" w:cstheme="majorBidi" w:eastAsiaTheme="majorEastAsia"/>
          <w:b/>
          <w:sz w:val="28"/>
          <w:szCs w:val="28"/>
          <w:lang w:eastAsia="en-US" w:bidi="en-US"/>
        </w:rPr>
        <w:t>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pPr>
        <w:pStyle w:val="Normal"/>
        <w:widowControl w:val="false"/>
        <w:spacing w:lineRule="auto" w:line="240" w:before="0" w:after="0"/>
        <w:contextualSpacing/>
        <w:jc w:val="center"/>
        <w:rPr>
          <w:rFonts w:ascii="Times New Roman" w:hAnsi="Times New Roman" w:eastAsia="" w:cs="" w:cstheme="majorBidi" w:eastAsiaTheme="majorEastAsia"/>
          <w:sz w:val="28"/>
          <w:szCs w:val="28"/>
          <w:lang w:eastAsia="en-US" w:bidi="en-US"/>
        </w:rPr>
      </w:pPr>
      <w:r>
        <w:rPr>
          <w:rFonts w:eastAsia="" w:cs="" w:cstheme="majorBidi" w:eastAsiaTheme="majorEastAsia" w:ascii="Times New Roman" w:hAnsi="Times New Roman"/>
          <w:sz w:val="28"/>
          <w:szCs w:val="28"/>
          <w:lang w:eastAsia="en-US" w:bidi="en-US"/>
        </w:rPr>
      </w:r>
    </w:p>
    <w:p>
      <w:pPr>
        <w:pStyle w:val="Normal"/>
        <w:shd w:val="clear" w:color="auto" w:fill="FFFFFF"/>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В 2016 году на территории Приморского края проведены работы по государственной кадастровой оценке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Данные работы проведены на основании приказа департамента земельных и имущественных отношений Приморского края от 05.11.2015 № 277 «О проведении государственной кадастровой оценки земельных участков, относящихся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расположенных на территории Приморского края».</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 xml:space="preserve">Благодаря проведённой работе и решению поставленных задач, достигнута основная цель данной государственной кадастровой оценки -  определена кадастровая стоимость 8 809 земельных участков. </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Суммарная кадастровая стоимость земельных участков в составе земель промышленности и иного специального назначения Приморского края по результатам выполненных в 2016 году работ составила 543 737,38 млн. рублей, текущая кадастровая стоимость, составляет 16 707.33 млн. рублей.</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 xml:space="preserve">По сравнению с предыдущим туром оценки наблюдается значительное увеличение кадастровой стоимости </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Информация о средней величине удельного показателя кадастровой стоимости земельных участков по группам разрешенного использования в разрезе муниципальных образований Приморского края приведена в  Таблице 24.</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r>
    </w:p>
    <w:tbl>
      <w:tblPr>
        <w:tblpPr w:bottomFromText="0" w:horzAnchor="margin" w:leftFromText="180" w:rightFromText="180" w:tblpX="0" w:tblpXSpec="center" w:tblpY="1525" w:topFromText="0" w:vertAnchor="page"/>
        <w:tblW w:w="960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34"/>
        <w:gridCol w:w="4109"/>
        <w:gridCol w:w="710"/>
        <w:gridCol w:w="850"/>
        <w:gridCol w:w="850"/>
        <w:gridCol w:w="709"/>
        <w:gridCol w:w="850"/>
        <w:gridCol w:w="992"/>
      </w:tblGrid>
      <w:tr>
        <w:trPr>
          <w:trHeight w:val="557" w:hRule="atLeast"/>
        </w:trPr>
        <w:tc>
          <w:tcPr>
            <w:tcW w:w="534" w:type="dxa"/>
            <w:vMerge w:val="restart"/>
            <w:tcBorders>
              <w:top w:val="single" w:sz="4" w:space="0" w:color="000000"/>
              <w:left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b/>
                <w:bCs/>
                <w:color w:val="000000"/>
              </w:rPr>
              <w:t xml:space="preserve">№ </w:t>
            </w:r>
            <w:r>
              <w:rPr>
                <w:rFonts w:eastAsia="Times New Roman" w:cs="Times New Roman" w:ascii="Times New Roman" w:hAnsi="Times New Roman"/>
                <w:b/>
                <w:bCs/>
                <w:color w:val="000000"/>
              </w:rPr>
              <w:t>п/п</w:t>
            </w:r>
          </w:p>
        </w:tc>
        <w:tc>
          <w:tcPr>
            <w:tcW w:w="4109" w:type="dxa"/>
            <w:vMerge w:val="restart"/>
            <w:tcBorders>
              <w:top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b/>
                <w:bCs/>
                <w:color w:val="000000"/>
              </w:rPr>
              <w:t>Наименование муниципального района/городского округа</w:t>
            </w:r>
          </w:p>
        </w:tc>
        <w:tc>
          <w:tcPr>
            <w:tcW w:w="4961" w:type="dxa"/>
            <w:gridSpan w:val="6"/>
            <w:tcBorders>
              <w:top w:val="single" w:sz="4" w:space="0" w:color="000000"/>
              <w:right w:val="single" w:sz="4" w:space="0" w:color="000000"/>
            </w:tcBorders>
            <w:shd w:color="auto" w:fill="auto" w:val="clear"/>
            <w:vAlign w:val="center"/>
          </w:tcPr>
          <w:p>
            <w:pPr>
              <w:pStyle w:val="Normal"/>
              <w:widowControl w:val="false"/>
              <w:spacing w:lineRule="auto" w:line="240" w:before="0" w:after="0"/>
              <w:ind w:left="-108" w:right="-67" w:hanging="0"/>
              <w:jc w:val="center"/>
              <w:rPr>
                <w:rFonts w:ascii="Times New Roman" w:hAnsi="Times New Roman" w:eastAsia="Times New Roman" w:cs="Times New Roman"/>
                <w:b/>
                <w:b/>
                <w:bCs/>
                <w:color w:val="000000"/>
              </w:rPr>
            </w:pPr>
            <w:r>
              <w:rPr>
                <w:rFonts w:eastAsia="Times New Roman" w:cs="Times New Roman" w:ascii="Times New Roman" w:hAnsi="Times New Roman"/>
                <w:b/>
                <w:bCs/>
                <w:color w:val="000000"/>
              </w:rPr>
              <w:t>Группы видов функционального использования</w:t>
            </w:r>
          </w:p>
        </w:tc>
      </w:tr>
      <w:tr>
        <w:trPr>
          <w:trHeight w:val="424" w:hRule="atLeast"/>
        </w:trPr>
        <w:tc>
          <w:tcPr>
            <w:tcW w:w="534" w:type="dxa"/>
            <w:vMerge w:val="continue"/>
            <w:tcBorders>
              <w:left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Cs/>
                <w:color w:val="000000"/>
              </w:rPr>
            </w:pPr>
            <w:r>
              <w:rPr>
                <w:rFonts w:eastAsia="Times New Roman" w:cs="Times New Roman" w:ascii="Times New Roman" w:hAnsi="Times New Roman"/>
                <w:bCs/>
                <w:color w:val="000000"/>
              </w:rPr>
            </w:r>
          </w:p>
        </w:tc>
        <w:tc>
          <w:tcPr>
            <w:tcW w:w="4109"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Cs/>
                <w:color w:val="000000"/>
              </w:rPr>
            </w:pPr>
            <w:r>
              <w:rPr>
                <w:rFonts w:eastAsia="Times New Roman" w:cs="Times New Roman" w:ascii="Times New Roman" w:hAnsi="Times New Roman"/>
                <w:bCs/>
                <w:color w:val="000000"/>
              </w:rPr>
            </w:r>
          </w:p>
        </w:tc>
        <w:tc>
          <w:tcPr>
            <w:tcW w:w="710" w:type="dxa"/>
            <w:tcBorders>
              <w:top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b/>
                <w:b/>
                <w:bCs/>
                <w:color w:val="000000"/>
              </w:rPr>
            </w:pPr>
            <w:r>
              <w:rPr>
                <w:rFonts w:eastAsia="Times New Roman" w:cs="Times New Roman" w:ascii="Times New Roman" w:hAnsi="Times New Roman"/>
                <w:b/>
                <w:bCs/>
                <w:color w:val="000000"/>
              </w:rPr>
              <w:t>1</w:t>
            </w:r>
          </w:p>
        </w:tc>
        <w:tc>
          <w:tcPr>
            <w:tcW w:w="850" w:type="dxa"/>
            <w:tcBorders>
              <w:top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b/>
                <w:bCs/>
                <w:color w:val="000000"/>
              </w:rPr>
              <w:t>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b/>
                <w:bCs/>
                <w:color w:val="000000"/>
              </w:rPr>
              <w:t>3</w:t>
            </w:r>
          </w:p>
        </w:tc>
        <w:tc>
          <w:tcPr>
            <w:tcW w:w="709" w:type="dxa"/>
            <w:tcBorders>
              <w:top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b/>
                <w:bCs/>
                <w:color w:val="000000"/>
              </w:rPr>
              <w:t>4</w:t>
            </w:r>
          </w:p>
        </w:tc>
        <w:tc>
          <w:tcPr>
            <w:tcW w:w="850" w:type="dxa"/>
            <w:tcBorders>
              <w:top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b/>
                <w:bCs/>
                <w:color w:val="000000"/>
              </w:rPr>
              <w:t>5</w:t>
            </w:r>
          </w:p>
        </w:tc>
        <w:tc>
          <w:tcPr>
            <w:tcW w:w="992" w:type="dxa"/>
            <w:tcBorders>
              <w:top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b/>
                <w:bCs/>
                <w:color w:val="000000"/>
              </w:rPr>
              <w:t>6</w:t>
            </w:r>
          </w:p>
        </w:tc>
      </w:tr>
      <w:tr>
        <w:trPr>
          <w:trHeight w:val="312"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w:t>
            </w:r>
          </w:p>
        </w:tc>
        <w:tc>
          <w:tcPr>
            <w:tcW w:w="410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Анучинский муниципальный район</w:t>
            </w:r>
          </w:p>
        </w:tc>
        <w:tc>
          <w:tcPr>
            <w:tcW w:w="710"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top w:val="single" w:sz="4" w:space="0" w:color="000000"/>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85.56</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252.99</w:t>
            </w:r>
          </w:p>
        </w:tc>
        <w:tc>
          <w:tcPr>
            <w:tcW w:w="709"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1.51</w:t>
            </w:r>
          </w:p>
        </w:tc>
        <w:tc>
          <w:tcPr>
            <w:tcW w:w="850"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71.43</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Дальнегорский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0.37</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Дальнереченский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55.27</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333.77</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2.22</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55.27</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70.71</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4</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Кавалеровский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67.54</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2.31</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Кировский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46.07</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639.46</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2.25</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83.32</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6</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Красноармейский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70.76</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118.19</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1.68</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64.75</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Лазовский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45.41</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51.58</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386.79</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1.64</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51.58</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69.98</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8</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Лесозаводский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46.14</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339.41</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2.62</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46.14</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63.43</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9</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Михайловский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76.34</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192.84</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3.47</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76.34</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219.46</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10</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Надеждинский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124.67</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539.46</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1.25</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124.67</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374.22</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11</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Октябрьский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78.29</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680.65</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3.64</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78.29</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224.57</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12</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Ольгинский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61</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156.72</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1.54</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16.9</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13</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Партизанский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117.94</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575.84</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1.52</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117.94</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72.51</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14</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Пограничный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54.66</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170.26</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1.51</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54.66</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12.24</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15</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Пожарский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88.52</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163.35</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724.25</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1.65</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163.35</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71.21</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16</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Спасский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52.3</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632.35</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2.11</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52.3</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69.47</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17</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Тернейский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32.33</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56.18</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197.01</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1.78</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56.18</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51.81</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18</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Уссурийский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1.22</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223.04</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19</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Ханкайский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51.05</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508.93</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1.67</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74.77</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20</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Хасанский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36.37</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154.61</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158.16</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2.15</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154.61</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27.3</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21</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Хорольский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86.56</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1.93</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45.95</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22</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Черниговский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101.3</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651.88</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1.58</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101.3</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21.26</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23</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Чугуевский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108.4</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242.02</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1.72</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73.2</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24</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Шкотовский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48.77</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115.14</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441.73</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2.3</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115.14</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223.3</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25</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Яковлевский муниципальный район</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86.41</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172.55</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1.73</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86.41</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73.38</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26</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Владивостокский городской округ</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99.39</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244.78</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803.88</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1.74</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1052.27</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27</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 </w:t>
            </w:r>
            <w:r>
              <w:rPr>
                <w:rFonts w:eastAsia="Times New Roman" w:cs="Times New Roman" w:ascii="Times New Roman" w:hAnsi="Times New Roman"/>
                <w:color w:val="000000"/>
              </w:rPr>
              <w:t>Артёмовский городской округ</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50.36</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149.63</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598.64</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1.75</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149.63</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581.53</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28</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Арсеньевский городской округ</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1.72</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419.14</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29</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городской округ ЗАТО Большой Камень</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182.96</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387.65</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1.65</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577.81</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30</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городской округ ЗАТО город Фокино</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166.87</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502.3</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1.49</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166.87</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401.85</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31</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Дальнегорский городской округ</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160.73</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108" w:right="-108" w:hanging="0"/>
              <w:jc w:val="center"/>
              <w:rPr>
                <w:rFonts w:ascii="Times New Roman" w:hAnsi="Times New Roman" w:eastAsia="Times New Roman" w:cs="Times New Roman"/>
                <w:color w:val="000000"/>
              </w:rPr>
            </w:pPr>
            <w:r>
              <w:rPr>
                <w:rFonts w:eastAsia="Times New Roman" w:cs="Times New Roman" w:ascii="Times New Roman" w:hAnsi="Times New Roman"/>
                <w:color w:val="000000"/>
              </w:rPr>
              <w:t>3094.32</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2.16</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160.73</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97.33</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32</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Дальнереченский городской округ</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25.96</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1.52</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71.8</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33</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Лесозаводский городской округ</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94.99</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797.38</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1.94</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94.99</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259.76</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34</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Находкинский городской округ</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136.03</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367.54</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1.55</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136.03</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265.68</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35</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Партизанский городской округ</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2.16</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72.04</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36</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Спасск-Дальний городской округ</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2.22</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37</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Уссурийский городской округ</w:t>
            </w:r>
          </w:p>
        </w:tc>
        <w:tc>
          <w:tcPr>
            <w:tcW w:w="710" w:type="dxa"/>
            <w:tcBorders>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850" w:type="dxa"/>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121.93</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480.46</w:t>
            </w:r>
          </w:p>
        </w:tc>
        <w:tc>
          <w:tcPr>
            <w:tcW w:w="709" w:type="dxa"/>
            <w:tcBorders>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1.51</w:t>
            </w:r>
          </w:p>
        </w:tc>
        <w:tc>
          <w:tcPr>
            <w:tcW w:w="850" w:type="dxa"/>
            <w:tcBorders>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992" w:type="dxa"/>
            <w:tcBorders>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150.4</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38</w:t>
            </w:r>
          </w:p>
        </w:tc>
        <w:tc>
          <w:tcPr>
            <w:tcW w:w="4109" w:type="dxa"/>
            <w:tcBorders>
              <w:bottom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color w:val="000000"/>
              </w:rPr>
            </w:pPr>
            <w:r>
              <w:rPr>
                <w:rFonts w:eastAsia="Times New Roman" w:cs="Times New Roman" w:ascii="Times New Roman" w:hAnsi="Times New Roman"/>
                <w:b/>
                <w:bCs/>
                <w:color w:val="000000"/>
              </w:rPr>
              <w:t>Среднее по Приморскому краю</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b/>
                <w:b/>
                <w:bCs/>
                <w:color w:val="000000"/>
              </w:rPr>
            </w:pPr>
            <w:r>
              <w:rPr>
                <w:rFonts w:eastAsia="Times New Roman" w:cs="Times New Roman" w:ascii="Times New Roman" w:hAnsi="Times New Roman"/>
                <w:b/>
                <w:bCs/>
                <w:color w:val="000000"/>
              </w:rPr>
              <w:t>54.57</w:t>
            </w:r>
          </w:p>
        </w:tc>
        <w:tc>
          <w:tcPr>
            <w:tcW w:w="850" w:type="dxa"/>
            <w:tcBorders>
              <w:top w:val="single" w:sz="4" w:space="0" w:color="000000"/>
              <w:bottom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b/>
                <w:b/>
                <w:bCs/>
                <w:color w:val="000000"/>
              </w:rPr>
            </w:pPr>
            <w:r>
              <w:rPr>
                <w:rFonts w:eastAsia="Times New Roman" w:cs="Times New Roman" w:ascii="Times New Roman" w:hAnsi="Times New Roman"/>
                <w:b/>
                <w:bCs/>
                <w:color w:val="000000"/>
              </w:rPr>
              <w:t>112.26</w:t>
            </w:r>
          </w:p>
        </w:tc>
        <w:tc>
          <w:tcPr>
            <w:tcW w:w="85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b/>
                <w:b/>
                <w:bCs/>
                <w:color w:val="000000"/>
              </w:rPr>
            </w:pPr>
            <w:r>
              <w:rPr>
                <w:rFonts w:eastAsia="Times New Roman" w:cs="Times New Roman" w:ascii="Times New Roman" w:hAnsi="Times New Roman"/>
                <w:b/>
                <w:bCs/>
                <w:color w:val="000000"/>
              </w:rPr>
              <w:t>464.04</w:t>
            </w:r>
          </w:p>
        </w:tc>
        <w:tc>
          <w:tcPr>
            <w:tcW w:w="709"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b/>
                <w:b/>
                <w:bCs/>
                <w:color w:val="000000"/>
              </w:rPr>
            </w:pPr>
            <w:r>
              <w:rPr>
                <w:rFonts w:eastAsia="Times New Roman" w:cs="Times New Roman" w:ascii="Times New Roman" w:hAnsi="Times New Roman"/>
                <w:b/>
                <w:bCs/>
                <w:color w:val="000000"/>
              </w:rPr>
              <w:t>2.05</w:t>
            </w:r>
          </w:p>
        </w:tc>
        <w:tc>
          <w:tcPr>
            <w:tcW w:w="850"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b/>
                <w:b/>
                <w:bCs/>
                <w:color w:val="000000"/>
              </w:rPr>
            </w:pPr>
            <w:r>
              <w:rPr>
                <w:rFonts w:eastAsia="Times New Roman" w:cs="Times New Roman" w:ascii="Times New Roman" w:hAnsi="Times New Roman"/>
                <w:b/>
                <w:bCs/>
                <w:color w:val="000000"/>
              </w:rPr>
              <w:t>112.93</w:t>
            </w:r>
          </w:p>
        </w:tc>
        <w:tc>
          <w:tcPr>
            <w:tcW w:w="992"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b/>
                <w:b/>
                <w:bCs/>
                <w:color w:val="000000"/>
              </w:rPr>
            </w:pPr>
            <w:r>
              <w:rPr>
                <w:rFonts w:eastAsia="Times New Roman" w:cs="Times New Roman" w:ascii="Times New Roman" w:hAnsi="Times New Roman"/>
                <w:b/>
                <w:bCs/>
                <w:color w:val="000000"/>
              </w:rPr>
              <w:t>171.64</w:t>
            </w:r>
          </w:p>
        </w:tc>
      </w:tr>
      <w:tr>
        <w:trPr>
          <w:trHeight w:val="312"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color w:val="000000"/>
              </w:rPr>
              <w:t>39</w:t>
            </w:r>
          </w:p>
        </w:tc>
        <w:tc>
          <w:tcPr>
            <w:tcW w:w="4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color w:val="000000"/>
              </w:rPr>
            </w:pPr>
            <w:r>
              <w:rPr>
                <w:rFonts w:eastAsia="Times New Roman" w:cs="Times New Roman" w:ascii="Times New Roman" w:hAnsi="Times New Roman"/>
                <w:b/>
                <w:bCs/>
                <w:color w:val="000000"/>
              </w:rPr>
              <w:t>Минимальное по Приморскому краю</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b/>
                <w:b/>
                <w:bCs/>
                <w:color w:val="000000"/>
              </w:rPr>
            </w:pPr>
            <w:r>
              <w:rPr>
                <w:rFonts w:eastAsia="Times New Roman" w:cs="Times New Roman" w:ascii="Times New Roman" w:hAnsi="Times New Roman"/>
                <w:b/>
                <w:bCs/>
                <w:color w:val="000000"/>
              </w:rPr>
              <w:t>23.86</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b/>
                <w:b/>
                <w:bCs/>
                <w:color w:val="000000"/>
              </w:rPr>
            </w:pPr>
            <w:r>
              <w:rPr>
                <w:rFonts w:eastAsia="Times New Roman" w:cs="Times New Roman" w:ascii="Times New Roman" w:hAnsi="Times New Roman"/>
                <w:b/>
                <w:bCs/>
                <w:color w:val="000000"/>
              </w:rPr>
              <w:t>32.87</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b/>
                <w:b/>
                <w:bCs/>
                <w:color w:val="000000"/>
              </w:rPr>
            </w:pPr>
            <w:r>
              <w:rPr>
                <w:rFonts w:eastAsia="Times New Roman" w:cs="Times New Roman" w:ascii="Times New Roman" w:hAnsi="Times New Roman"/>
                <w:b/>
                <w:bCs/>
                <w:color w:val="000000"/>
              </w:rPr>
              <w:t>151.37</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b/>
                <w:b/>
                <w:bCs/>
                <w:color w:val="000000"/>
              </w:rPr>
            </w:pPr>
            <w:r>
              <w:rPr>
                <w:rFonts w:eastAsia="Times New Roman" w:cs="Times New Roman" w:ascii="Times New Roman" w:hAnsi="Times New Roman"/>
                <w:b/>
                <w:bCs/>
                <w:color w:val="000000"/>
              </w:rPr>
              <w:t>0.08</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b/>
                <w:b/>
                <w:bCs/>
                <w:color w:val="000000"/>
              </w:rPr>
            </w:pPr>
            <w:r>
              <w:rPr>
                <w:rFonts w:eastAsia="Times New Roman" w:cs="Times New Roman" w:ascii="Times New Roman" w:hAnsi="Times New Roman"/>
                <w:b/>
                <w:bCs/>
                <w:color w:val="000000"/>
              </w:rPr>
              <w:t>46.14</w:t>
            </w:r>
          </w:p>
        </w:tc>
        <w:tc>
          <w:tcPr>
            <w:tcW w:w="99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b/>
                <w:b/>
                <w:bCs/>
                <w:color w:val="000000"/>
              </w:rPr>
            </w:pPr>
            <w:r>
              <w:rPr>
                <w:rFonts w:eastAsia="Times New Roman" w:cs="Times New Roman" w:ascii="Times New Roman" w:hAnsi="Times New Roman"/>
                <w:b/>
                <w:bCs/>
                <w:color w:val="000000"/>
              </w:rPr>
              <w:t>0.25</w:t>
            </w:r>
          </w:p>
        </w:tc>
      </w:tr>
    </w:tbl>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 xml:space="preserve">В целом полученная кадастровая стоимость находится в диапазоне собранной ценовой информции. </w:t>
      </w:r>
    </w:p>
    <w:p>
      <w:pPr>
        <w:pStyle w:val="Normal"/>
        <w:shd w:val="clear" w:color="auto" w:fill="FFFFFF"/>
        <w:spacing w:lineRule="auto" w:line="240" w:before="0" w:after="0"/>
        <w:ind w:firstLine="567"/>
        <w:jc w:val="both"/>
        <w:rPr>
          <w:rFonts w:ascii="Times New Roman" w:hAnsi="Times New Roman"/>
          <w:sz w:val="28"/>
          <w:szCs w:val="28"/>
        </w:rPr>
      </w:pPr>
      <w:r>
        <w:rPr>
          <w:rFonts w:ascii="Times New Roman" w:hAnsi="Times New Roman"/>
          <w:sz w:val="28"/>
          <w:szCs w:val="28"/>
        </w:rPr>
        <w:t>То, что полученные результаты отличаются от собранной ценовой информации, говорит о том, что объекты оценки по своим ценообразующим характеристикам отличаются от объектов, представленных на рынке, как в лучшую, так и в худшую сторону.</w:t>
      </w:r>
    </w:p>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t xml:space="preserve">В результате проведения государственной кадастровой оценки были актуализированы средние значения удельных показателей кадастровой стоимости земель промышленности и иного специального назначения Приморского края в разрезе групп разрешенного использования. </w:t>
      </w:r>
    </w:p>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t>Все земельные участки промышленности и иного специального назначения в зависимости от применяемых методических подходов к определению их кадастровой стоимости объединены в шесть групп.</w:t>
      </w:r>
    </w:p>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t xml:space="preserve">Первая группа включает в себя земельные участки для размещения наземных объектов космической инфраструктуры, аэропортов, аэродромов, гидроэлектростанций, атомных станций. </w:t>
      </w:r>
    </w:p>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t xml:space="preserve">Ко второй группе отнесены земельные участки для размещения производственных и административных зданий, строений. </w:t>
      </w:r>
    </w:p>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t xml:space="preserve">Третья группа представлена земельными участками под объектами дорожного сервиса в полосах отвода автомобильных дорог. </w:t>
      </w:r>
    </w:p>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t xml:space="preserve">К четвертой группе отнесены земельные участки для разработки полезных ископаемых, железнодорожных путей, автомобильных дорог, трубопроводов, линий электропередач. </w:t>
      </w:r>
    </w:p>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t xml:space="preserve">Пятая группа – земельные участки для размещения и эксплуатации железнодорожных вокзалов, автовокзалов, речных портов, иных подобных объектов. </w:t>
      </w:r>
    </w:p>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t>Шестая группа представлена земельными участками под военными организациями, учреждениями, другими военными объектами, а также землями иного специального назначения.</w:t>
      </w:r>
    </w:p>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t>По результатам проделанной работы наблюдается увеличение кадастровой стоимости:</w:t>
      </w:r>
    </w:p>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t>по 1 группе – на 34%, по 2 группе – на 52 %, по 3 группе – на 19%, по 4 и 5 группам – на 40 %.</w:t>
      </w:r>
    </w:p>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t xml:space="preserve">По 6 группе наблюдается резкое увеличение кадастровой стоимости примерно в 80 раз.  </w:t>
      </w:r>
    </w:p>
    <w:p>
      <w:pPr>
        <w:pStyle w:val="Normal"/>
        <w:spacing w:lineRule="auto" w:line="240" w:before="0" w:after="0"/>
        <w:ind w:firstLine="709"/>
        <w:contextualSpacing/>
        <w:jc w:val="both"/>
        <w:rPr>
          <w:rFonts w:ascii="Times New Roman" w:hAnsi="Times New Roman"/>
          <w:sz w:val="28"/>
          <w:szCs w:val="28"/>
        </w:rPr>
      </w:pPr>
      <w:r>
        <w:rPr>
          <w:rFonts w:ascii="Times New Roman" w:hAnsi="Times New Roman"/>
          <w:sz w:val="28"/>
          <w:szCs w:val="28"/>
        </w:rPr>
        <w:t>По 1 группе произошло увеличение УПКСЗ в среднем по субъекту в 2,38  раза.</w:t>
      </w:r>
    </w:p>
    <w:p>
      <w:pPr>
        <w:pStyle w:val="Normal"/>
        <w:spacing w:lineRule="auto" w:line="240" w:before="0" w:after="0"/>
        <w:ind w:firstLine="709"/>
        <w:contextualSpacing/>
        <w:jc w:val="both"/>
        <w:rPr>
          <w:rFonts w:ascii="Times New Roman" w:hAnsi="Times New Roman"/>
          <w:sz w:val="28"/>
          <w:szCs w:val="28"/>
        </w:rPr>
      </w:pPr>
      <w:r>
        <w:rPr>
          <w:rFonts w:ascii="Times New Roman" w:hAnsi="Times New Roman"/>
          <w:sz w:val="28"/>
          <w:szCs w:val="28"/>
        </w:rPr>
        <w:t>Результаты государственной кадастровой оценки земель промышленности и иного специального назначения Приморского края утверждены постановлением департамента земельных и имущественных отношений Приморского края от 13.10.2016 № 4-п «Об утверждении результатов определения кадастровой стоимости земельных участков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расположенных на территории Приморского края».</w:t>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 w:cstheme="majorBidi" w:eastAsiaTheme="majorEastAsia" w:ascii="Times New Roman" w:hAnsi="Times New Roman"/>
          <w:b/>
          <w:sz w:val="28"/>
          <w:szCs w:val="28"/>
          <w:lang w:eastAsia="en-US" w:bidi="en-US"/>
        </w:rPr>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 w:cstheme="majorBidi" w:eastAsiaTheme="majorEastAsia" w:ascii="Times New Roman" w:hAnsi="Times New Roman"/>
          <w:b/>
          <w:sz w:val="28"/>
          <w:szCs w:val="28"/>
          <w:lang w:eastAsia="en-US" w:bidi="en-US"/>
        </w:rPr>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 w:ascii="Times New Roman" w:hAnsi="Times New Roman" w:cstheme="majorBidi" w:eastAsiaTheme="majorEastAsia"/>
          <w:b/>
          <w:sz w:val="28"/>
          <w:szCs w:val="28"/>
          <w:lang w:eastAsia="en-US" w:bidi="en-US"/>
        </w:rPr>
        <w:t>Земли особо охраняемых территорий и объектов</w:t>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 w:cstheme="majorBidi" w:eastAsiaTheme="majorEastAsia" w:ascii="Times New Roman" w:hAnsi="Times New Roman"/>
          <w:b/>
          <w:sz w:val="28"/>
          <w:szCs w:val="28"/>
          <w:lang w:eastAsia="en-US" w:bidi="en-US"/>
        </w:rPr>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 w:cstheme="majorBidi" w:eastAsiaTheme="majorEastAsia" w:ascii="Times New Roman" w:hAnsi="Times New Roman"/>
          <w:b/>
          <w:sz w:val="28"/>
          <w:szCs w:val="28"/>
          <w:lang w:eastAsia="en-US" w:bidi="en-US"/>
        </w:rPr>
      </w:r>
      <w:bookmarkStart w:id="546" w:name="_GoBack"/>
      <w:bookmarkStart w:id="547" w:name="_GoBack"/>
      <w:bookmarkEnd w:id="547"/>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В 2016 году на территории Приморского края проведен очередной тур работ по государственной кадастровой оценке земель особо охраняемых территорий и объектов.</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Государственная кадастровая оценка земель особо охраняемых территорий и объектов проводилась в соответствии с «Методическими рекомендациями по государственной кадастровой оценке земель особо охраняемых территорий и объектов», утвержденной приказом Минэкономразвития РФ от 23.06.2005 № 138, согласно которой порядок определения кадастровой стоимости земельных участков в составе земель особо охраняемых территорий и объектов устанавливается для двух групп земель в зависимости от применяемых при государственной кадастровой оценке земель методических подходов.</w:t>
      </w:r>
    </w:p>
    <w:p>
      <w:pPr>
        <w:pStyle w:val="Normal"/>
        <w:shd w:val="clear" w:color="auto" w:fill="FFFFFF"/>
        <w:spacing w:lineRule="auto" w:line="240" w:before="0" w:after="0"/>
        <w:ind w:right="5" w:firstLine="709"/>
        <w:contextualSpacing/>
        <w:jc w:val="both"/>
        <w:rPr>
          <w:rFonts w:ascii="Times New Roman" w:hAnsi="Times New Roman"/>
          <w:sz w:val="28"/>
          <w:szCs w:val="28"/>
        </w:rPr>
      </w:pPr>
      <w:r>
        <w:rPr>
          <w:rFonts w:ascii="Times New Roman" w:hAnsi="Times New Roman"/>
          <w:sz w:val="28"/>
          <w:szCs w:val="28"/>
        </w:rPr>
        <w:t>К первой группе отнесены земли особо охраняемых природных территорий (за исключением земель лечебно-оздоровительных местностей</w:t>
      </w:r>
      <w:r>
        <w:rPr>
          <w:sz w:val="28"/>
          <w:szCs w:val="28"/>
        </w:rPr>
        <w:t xml:space="preserve"> </w:t>
      </w:r>
      <w:r>
        <w:rPr>
          <w:rFonts w:ascii="Times New Roman" w:hAnsi="Times New Roman"/>
          <w:sz w:val="28"/>
          <w:szCs w:val="28"/>
        </w:rPr>
        <w:t xml:space="preserve">и курортов), земли пригородных зеленых зон, земли природоохранного назначения, историко-культурного назначения, земельные участки, на которых находятся учебно-туристические тропы, трассы, и иные особо ценные земли. </w:t>
      </w:r>
    </w:p>
    <w:p>
      <w:pPr>
        <w:pStyle w:val="Normal"/>
        <w:widowControl w:val="false"/>
        <w:spacing w:lineRule="auto" w:line="240" w:before="0" w:after="200"/>
        <w:ind w:firstLine="567"/>
        <w:contextualSpacing/>
        <w:jc w:val="both"/>
        <w:rPr>
          <w:rFonts w:ascii="Times New Roman" w:hAnsi="Times New Roman"/>
          <w:sz w:val="28"/>
          <w:szCs w:val="28"/>
        </w:rPr>
      </w:pPr>
      <w:r>
        <w:rPr>
          <w:rFonts w:ascii="Times New Roman" w:hAnsi="Times New Roman"/>
          <w:sz w:val="28"/>
          <w:szCs w:val="28"/>
        </w:rPr>
        <w:t xml:space="preserve">К землям второй группы относятся земли рекреационного назначения (за исключением пригородных зеленых зон и учебно-туристических троп и трасс), земли лечебно-оздоровительных местностей и курортов. Кроме того, в ходе группировки земельных участков Оценщиком были обнаружены несоответствия в описании вида разрешенного использования (например: «для жилой застройки (размещение индивидуального жилого дома и ведения личного подсобного хозяйства)», </w:t>
      </w:r>
      <w:bookmarkStart w:id="548" w:name="OLE_LINK1"/>
      <w:r>
        <w:rPr>
          <w:rFonts w:ascii="Times New Roman" w:hAnsi="Times New Roman"/>
          <w:sz w:val="28"/>
          <w:szCs w:val="28"/>
        </w:rPr>
        <w:t>«для сельскохозяйственного производства, пашня (из земель сельскохозяйственного назначения)»</w:t>
      </w:r>
      <w:bookmarkEnd w:id="548"/>
      <w:r>
        <w:rPr>
          <w:rFonts w:ascii="Times New Roman" w:hAnsi="Times New Roman"/>
          <w:sz w:val="28"/>
          <w:szCs w:val="28"/>
        </w:rPr>
        <w:t>, «под строительство береговой производственной базы» и др.). Оценщиком было принято решение об отнесений данных земельных участков ко 2 группе видов использования в составе земель особо охраняемых территорий и объектов на территории Приморского края.</w:t>
      </w:r>
    </w:p>
    <w:p>
      <w:pPr>
        <w:pStyle w:val="Normal"/>
        <w:shd w:val="clear" w:color="auto" w:fill="FFFFFF"/>
        <w:spacing w:lineRule="auto" w:line="240" w:before="0" w:after="0"/>
        <w:ind w:right="5"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right="5"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right="5"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right="5" w:firstLine="567"/>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right="5" w:firstLine="567"/>
        <w:jc w:val="both"/>
        <w:rPr>
          <w:rFonts w:ascii="Times New Roman" w:hAnsi="Times New Roman"/>
          <w:sz w:val="28"/>
          <w:szCs w:val="28"/>
        </w:rPr>
      </w:pPr>
      <w:r>
        <w:rPr>
          <w:rFonts w:ascii="Times New Roman" w:hAnsi="Times New Roman"/>
          <w:sz w:val="28"/>
          <w:szCs w:val="28"/>
        </w:rPr>
        <w:t>Определение кадастровой стоимости земельных участков, отнесенных к первой группе видов использования земель в составе особо охраняемых территорий и объектов, осуществляется в следующем порядке:</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 определение удельных показателей кадастровой стоимости (УПКСЗ) земельных участков, отнесенных к первой группе;</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 расчет кадастровой стоимости земельных участков, отнесенных к первой группе.</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Для земель первой группы удельный показатель кадастровой стоимости земель определяется исходя из значений удельных показателей кадастровой стоимости земель, занимающих наибольший удельный вес в структуре земель данной категории.</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Определение кадастровой стоимости земельных участков, отнесенных ко второй группе видов использования земель в составе земель особо охраняемых территорий и объектов, осуществляется в следующем порядке:</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 кластеризация земельных участков, отнесенных ко второй группе;</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 определение эталонного земельного участка для каждого из кластеров земельных участков, отнесенных ко второй группе;</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 определение рыночной стоимости эталонных земельных участков;</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 xml:space="preserve">- определение кадастровой стоимости земельных участков, отнесенных ко второй группе. </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 xml:space="preserve">Перечень земельных участков в составе особо охраняемых территорий и объектов Приморского края был составлен по данным государственного кадастра недвижимости. </w:t>
      </w:r>
    </w:p>
    <w:p>
      <w:pPr>
        <w:pStyle w:val="Normal"/>
        <w:shd w:val="clear" w:color="auto" w:fill="FFFFFF"/>
        <w:spacing w:lineRule="auto" w:line="240" w:before="0" w:after="200"/>
        <w:ind w:right="6" w:firstLine="709"/>
        <w:contextualSpacing/>
        <w:jc w:val="both"/>
        <w:rPr>
          <w:rFonts w:ascii="Times New Roman" w:hAnsi="Times New Roman"/>
          <w:sz w:val="28"/>
          <w:szCs w:val="28"/>
        </w:rPr>
      </w:pPr>
      <w:r>
        <w:rPr>
          <w:rFonts w:ascii="Times New Roman" w:hAnsi="Times New Roman"/>
          <w:sz w:val="28"/>
          <w:szCs w:val="28"/>
        </w:rPr>
        <w:t>В категории земель особо охраняемых территорий и объектов Приморского края было оценено 1550 земельных участков. Общая площадь земельных участков составляет  1546.91 тыс. га.</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По сравнению с показателями предыдущего тура государственной кадастровой оценки земельных участков особо охраняемых территорий и объектов Приморского края (2009 год) В среднем по земельным участкам 1 группы произошло уменьшение среднего УПКСЗ на 0.26 раза, по сравнению с предыдущим туром оценки. Уменьшение, в основном, произошло за счет того, что снизились удельные показатели кадастровой стоимости видов угодий, занимающих наибольший удельный вес в структуре видов угодий земельных участков.</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По 2 группе произошло увеличение УПКСЗ в среднем по Приморскому краю в 2.02 раза, по сравнению с предыдущим туром оценки. В целом по краю увеличение УПКСЗ произошло за счет инфляции - роста цен за период между турами оценки.</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 xml:space="preserve">Результаты государственной кадастровой оценки земель особо охраняемых территорий и объектов Приморского края утверждены постановлением департамента земельных и имущественных отношений Приморского края от 05.09.2016 № 3-п «Об утверждении результатов определения кадастровой стоимости земельных участков в составе земель особо охраняемых территорий и объектов, расположенных на территории Приморского края». </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color w:val="000000"/>
          <w:spacing w:val="-1"/>
          <w:sz w:val="28"/>
          <w:szCs w:val="28"/>
        </w:rPr>
        <w:t xml:space="preserve">Сравнительный анализ результатов государственной кадастровой оценки </w:t>
      </w:r>
      <w:r>
        <w:rPr>
          <w:rFonts w:ascii="Times New Roman" w:hAnsi="Times New Roman"/>
          <w:sz w:val="28"/>
          <w:szCs w:val="28"/>
        </w:rPr>
        <w:t xml:space="preserve">земель </w:t>
      </w:r>
      <w:r>
        <w:rPr>
          <w:rFonts w:ascii="Times New Roman" w:hAnsi="Times New Roman"/>
          <w:spacing w:val="-5"/>
          <w:sz w:val="28"/>
          <w:szCs w:val="28"/>
        </w:rPr>
        <w:t xml:space="preserve">особо охраняемых территорий и объектов </w:t>
      </w:r>
      <w:r>
        <w:rPr>
          <w:rFonts w:ascii="Times New Roman" w:hAnsi="Times New Roman"/>
          <w:spacing w:val="-6"/>
          <w:sz w:val="28"/>
          <w:szCs w:val="28"/>
        </w:rPr>
        <w:t>Приморского края</w:t>
      </w:r>
      <w:r>
        <w:rPr>
          <w:rFonts w:ascii="Times New Roman" w:hAnsi="Times New Roman"/>
          <w:sz w:val="28"/>
          <w:szCs w:val="28"/>
        </w:rPr>
        <w:t xml:space="preserve"> представлен в таблице 25.</w:t>
      </w:r>
    </w:p>
    <w:p>
      <w:pPr>
        <w:pStyle w:val="Normal"/>
        <w:shd w:val="clear" w:color="auto" w:fill="FFFFFF"/>
        <w:spacing w:lineRule="auto" w:line="240" w:before="0" w:after="0"/>
        <w:ind w:firstLine="641"/>
        <w:jc w:val="right"/>
        <w:rPr>
          <w:rFonts w:ascii="Times New Roman" w:hAnsi="Times New Roman"/>
          <w:sz w:val="24"/>
          <w:szCs w:val="24"/>
        </w:rPr>
      </w:pPr>
      <w:r>
        <w:rPr>
          <w:rFonts w:ascii="Times New Roman" w:hAnsi="Times New Roman"/>
          <w:sz w:val="24"/>
          <w:szCs w:val="24"/>
        </w:rPr>
        <w:t>Таблица 25</w:t>
      </w:r>
    </w:p>
    <w:p>
      <w:pPr>
        <w:pStyle w:val="Normal"/>
        <w:suppressAutoHyphens w:val="true"/>
        <w:spacing w:lineRule="auto" w:line="240" w:before="0" w:after="0"/>
        <w:ind w:firstLine="720"/>
        <w:contextualSpacing/>
        <w:jc w:val="both"/>
        <w:rPr>
          <w:rFonts w:ascii="Times New Roman" w:hAnsi="Times New Roman"/>
          <w:color w:val="000000"/>
          <w:spacing w:val="-1"/>
          <w:sz w:val="28"/>
          <w:szCs w:val="28"/>
        </w:rPr>
      </w:pPr>
      <w:r>
        <w:rPr>
          <w:rFonts w:ascii="Times New Roman" w:hAnsi="Times New Roman"/>
          <w:color w:val="000000"/>
          <w:spacing w:val="-1"/>
          <w:sz w:val="28"/>
          <w:szCs w:val="28"/>
        </w:rPr>
        <w:t>Результаты сравнения средних удельных показателей кадастровой стоимости земельных участков с предыдущим туром в разрезе муниципальных образований Приморского края</w:t>
      </w:r>
    </w:p>
    <w:tbl>
      <w:tblPr>
        <w:tblW w:w="9477" w:type="dxa"/>
        <w:jc w:val="left"/>
        <w:tblInd w:w="93" w:type="dxa"/>
        <w:tblLayout w:type="fixed"/>
        <w:tblCellMar>
          <w:top w:w="28" w:type="dxa"/>
          <w:left w:w="108" w:type="dxa"/>
          <w:bottom w:w="28" w:type="dxa"/>
          <w:right w:w="108" w:type="dxa"/>
        </w:tblCellMar>
        <w:tblLook w:val="04a0" w:noHBand="0" w:noVBand="1" w:firstColumn="1" w:lastRow="0" w:lastColumn="0" w:firstRow="1"/>
      </w:tblPr>
      <w:tblGrid>
        <w:gridCol w:w="523"/>
        <w:gridCol w:w="2185"/>
        <w:gridCol w:w="1096"/>
        <w:gridCol w:w="1158"/>
        <w:gridCol w:w="1101"/>
        <w:gridCol w:w="1157"/>
        <w:gridCol w:w="1155"/>
        <w:gridCol w:w="1100"/>
      </w:tblGrid>
      <w:tr>
        <w:trPr>
          <w:tblHeader w:val="true"/>
          <w:trHeight w:val="20" w:hRule="atLeast"/>
        </w:trPr>
        <w:tc>
          <w:tcPr>
            <w:tcW w:w="52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п/п</w:t>
            </w:r>
          </w:p>
        </w:tc>
        <w:tc>
          <w:tcPr>
            <w:tcW w:w="218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Наименование муниципального района/городского округа</w:t>
            </w:r>
          </w:p>
        </w:tc>
        <w:tc>
          <w:tcPr>
            <w:tcW w:w="335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 группа</w:t>
            </w:r>
          </w:p>
        </w:tc>
        <w:tc>
          <w:tcPr>
            <w:tcW w:w="3412" w:type="dxa"/>
            <w:gridSpan w:val="3"/>
            <w:tcBorders>
              <w:top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 группа</w:t>
            </w:r>
          </w:p>
        </w:tc>
      </w:tr>
      <w:tr>
        <w:trPr>
          <w:trHeight w:val="1228" w:hRule="atLeast"/>
        </w:trPr>
        <w:tc>
          <w:tcPr>
            <w:tcW w:w="52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r>
          </w:p>
        </w:tc>
        <w:tc>
          <w:tcPr>
            <w:tcW w:w="218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r>
          </w:p>
        </w:tc>
        <w:tc>
          <w:tcPr>
            <w:tcW w:w="109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ind w:left="-108" w:right="-108" w:hanging="0"/>
              <w:rPr>
                <w:rFonts w:ascii="Times New Roman" w:hAnsi="Times New Roman" w:cs="Times New Roman"/>
                <w:color w:val="000000"/>
              </w:rPr>
            </w:pPr>
            <w:r>
              <w:rPr>
                <w:rFonts w:cs="Times New Roman" w:ascii="Times New Roman" w:hAnsi="Times New Roman"/>
                <w:color w:val="000000"/>
              </w:rPr>
              <w:t>Средний  УПКСЗ – 01.01.2009, руб./кв. м</w:t>
            </w:r>
          </w:p>
        </w:tc>
        <w:tc>
          <w:tcPr>
            <w:tcW w:w="1158" w:type="dxa"/>
            <w:tcBorders>
              <w:bottom w:val="single" w:sz="4" w:space="0" w:color="000000"/>
              <w:right w:val="single" w:sz="4" w:space="0" w:color="000000"/>
            </w:tcBorders>
            <w:shd w:color="auto" w:fill="auto" w:val="clear"/>
          </w:tcPr>
          <w:p>
            <w:pPr>
              <w:pStyle w:val="Normal"/>
              <w:widowControl w:val="false"/>
              <w:spacing w:before="0" w:after="200"/>
              <w:ind w:left="-108" w:right="-108" w:hanging="0"/>
              <w:rPr>
                <w:rFonts w:ascii="Times New Roman" w:hAnsi="Times New Roman" w:cs="Times New Roman"/>
                <w:color w:val="000000"/>
              </w:rPr>
            </w:pPr>
            <w:r>
              <w:rPr>
                <w:rFonts w:cs="Times New Roman" w:ascii="Times New Roman" w:hAnsi="Times New Roman"/>
                <w:color w:val="000000"/>
              </w:rPr>
              <w:t>Средний  УПКСЗ – 01.11.2015, руб./кв. м</w:t>
            </w:r>
          </w:p>
        </w:tc>
        <w:tc>
          <w:tcPr>
            <w:tcW w:w="1101" w:type="dxa"/>
            <w:tcBorders>
              <w:bottom w:val="single" w:sz="4" w:space="0" w:color="000000"/>
              <w:right w:val="single" w:sz="4" w:space="0" w:color="000000"/>
            </w:tcBorders>
            <w:shd w:color="auto" w:fill="auto" w:val="clear"/>
          </w:tcPr>
          <w:p>
            <w:pPr>
              <w:pStyle w:val="Normal"/>
              <w:widowControl w:val="false"/>
              <w:spacing w:before="0" w:after="200"/>
              <w:ind w:left="-108" w:right="-108" w:hanging="0"/>
              <w:rPr>
                <w:rFonts w:ascii="Times New Roman" w:hAnsi="Times New Roman" w:cs="Times New Roman"/>
                <w:color w:val="000000"/>
              </w:rPr>
            </w:pPr>
            <w:r>
              <w:rPr>
                <w:rFonts w:cs="Times New Roman" w:ascii="Times New Roman" w:hAnsi="Times New Roman"/>
                <w:color w:val="000000"/>
              </w:rPr>
              <w:t>Изменение, раз</w:t>
            </w:r>
          </w:p>
        </w:tc>
        <w:tc>
          <w:tcPr>
            <w:tcW w:w="1157" w:type="dxa"/>
            <w:tcBorders>
              <w:bottom w:val="single" w:sz="4" w:space="0" w:color="000000"/>
              <w:right w:val="single" w:sz="4" w:space="0" w:color="000000"/>
            </w:tcBorders>
            <w:shd w:color="auto" w:fill="auto" w:val="clear"/>
          </w:tcPr>
          <w:p>
            <w:pPr>
              <w:pStyle w:val="Normal"/>
              <w:widowControl w:val="false"/>
              <w:spacing w:before="0" w:after="200"/>
              <w:ind w:left="-108" w:right="-108" w:hanging="0"/>
              <w:rPr>
                <w:rFonts w:ascii="Times New Roman" w:hAnsi="Times New Roman" w:cs="Times New Roman"/>
                <w:color w:val="000000"/>
              </w:rPr>
            </w:pPr>
            <w:r>
              <w:rPr>
                <w:rFonts w:cs="Times New Roman" w:ascii="Times New Roman" w:hAnsi="Times New Roman"/>
                <w:color w:val="000000"/>
              </w:rPr>
              <w:t>Средний  УПКСЗ – 01.01.2009, руб./кв. м</w:t>
            </w:r>
          </w:p>
        </w:tc>
        <w:tc>
          <w:tcPr>
            <w:tcW w:w="1155" w:type="dxa"/>
            <w:tcBorders>
              <w:bottom w:val="single" w:sz="4" w:space="0" w:color="000000"/>
              <w:right w:val="single" w:sz="4" w:space="0" w:color="000000"/>
            </w:tcBorders>
            <w:shd w:color="auto" w:fill="auto" w:val="clear"/>
          </w:tcPr>
          <w:p>
            <w:pPr>
              <w:pStyle w:val="Normal"/>
              <w:widowControl w:val="false"/>
              <w:spacing w:before="0" w:after="200"/>
              <w:ind w:left="-108" w:right="-108" w:hanging="0"/>
              <w:rPr>
                <w:rFonts w:ascii="Times New Roman" w:hAnsi="Times New Roman" w:cs="Times New Roman"/>
                <w:color w:val="000000"/>
              </w:rPr>
            </w:pPr>
            <w:r>
              <w:rPr>
                <w:rFonts w:cs="Times New Roman" w:ascii="Times New Roman" w:hAnsi="Times New Roman"/>
                <w:color w:val="000000"/>
              </w:rPr>
              <w:t>Средний УПКСЗ – 01.11.2015, руб./кв. м</w:t>
            </w:r>
          </w:p>
        </w:tc>
        <w:tc>
          <w:tcPr>
            <w:tcW w:w="1100" w:type="dxa"/>
            <w:tcBorders>
              <w:bottom w:val="single" w:sz="4" w:space="0" w:color="000000"/>
              <w:right w:val="single" w:sz="4" w:space="0" w:color="000000"/>
            </w:tcBorders>
            <w:shd w:color="auto" w:fill="auto" w:val="clear"/>
          </w:tcPr>
          <w:p>
            <w:pPr>
              <w:pStyle w:val="Normal"/>
              <w:widowControl w:val="false"/>
              <w:spacing w:before="0" w:after="200"/>
              <w:ind w:left="-108" w:right="-108" w:hanging="0"/>
              <w:rPr>
                <w:rFonts w:ascii="Times New Roman" w:hAnsi="Times New Roman" w:cs="Times New Roman"/>
                <w:color w:val="000000"/>
              </w:rPr>
            </w:pPr>
            <w:r>
              <w:rPr>
                <w:rFonts w:cs="Times New Roman" w:ascii="Times New Roman" w:hAnsi="Times New Roman"/>
                <w:color w:val="000000"/>
              </w:rPr>
              <w:t>Изменение, раз</w:t>
            </w:r>
          </w:p>
        </w:tc>
      </w:tr>
      <w:tr>
        <w:trPr>
          <w:trHeight w:val="269"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w:t>
            </w:r>
          </w:p>
        </w:tc>
        <w:tc>
          <w:tcPr>
            <w:tcW w:w="2185" w:type="dxa"/>
            <w:tcBorders>
              <w:top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Арсеньевский ГО</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Артемовский ГО</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25.48</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182.20</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7.15</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w:t>
            </w:r>
          </w:p>
        </w:tc>
        <w:tc>
          <w:tcPr>
            <w:tcW w:w="2185" w:type="dxa"/>
            <w:tcBorders>
              <w:bottom w:val="single" w:sz="4" w:space="0" w:color="000000"/>
              <w:right w:val="single" w:sz="4" w:space="0" w:color="000000"/>
            </w:tcBorders>
            <w:shd w:color="auto" w:fill="auto" w:val="clear"/>
          </w:tcPr>
          <w:p>
            <w:pPr>
              <w:pStyle w:val="Normal"/>
              <w:widowControl w:val="false"/>
              <w:spacing w:before="0" w:after="200"/>
              <w:ind w:left="-49" w:right="-29" w:hanging="0"/>
              <w:rPr>
                <w:rFonts w:ascii="Times New Roman" w:hAnsi="Times New Roman" w:cs="Times New Roman"/>
                <w:color w:val="000000"/>
              </w:rPr>
            </w:pPr>
            <w:r>
              <w:rPr>
                <w:rFonts w:cs="Times New Roman" w:ascii="Times New Roman" w:hAnsi="Times New Roman"/>
                <w:color w:val="000000"/>
              </w:rPr>
              <w:t>ГО г. Большой Камень</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30.08</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121.47</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4.04</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4</w:t>
            </w:r>
          </w:p>
        </w:tc>
        <w:tc>
          <w:tcPr>
            <w:tcW w:w="2185" w:type="dxa"/>
            <w:tcBorders>
              <w:bottom w:val="single" w:sz="4" w:space="0" w:color="000000"/>
              <w:right w:val="single" w:sz="4" w:space="0" w:color="000000"/>
            </w:tcBorders>
            <w:shd w:color="auto" w:fill="auto" w:val="clear"/>
          </w:tcPr>
          <w:p>
            <w:pPr>
              <w:pStyle w:val="Normal"/>
              <w:widowControl w:val="false"/>
              <w:spacing w:before="0" w:after="200"/>
              <w:ind w:left="-108" w:right="-108" w:hanging="0"/>
              <w:rPr>
                <w:rFonts w:ascii="Times New Roman" w:hAnsi="Times New Roman" w:cs="Times New Roman"/>
                <w:color w:val="000000"/>
              </w:rPr>
            </w:pPr>
            <w:r>
              <w:rPr>
                <w:rFonts w:cs="Times New Roman" w:ascii="Times New Roman" w:hAnsi="Times New Roman"/>
                <w:color w:val="000000"/>
              </w:rPr>
              <w:t>Владивостокский ГО</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305.88</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5</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Дальнегорский ГО</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0.57</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27.58</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16.25</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0.59</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6</w:t>
            </w:r>
          </w:p>
        </w:tc>
        <w:tc>
          <w:tcPr>
            <w:tcW w:w="2185" w:type="dxa"/>
            <w:tcBorders>
              <w:bottom w:val="single" w:sz="4" w:space="0" w:color="000000"/>
              <w:right w:val="single" w:sz="4" w:space="0" w:color="000000"/>
            </w:tcBorders>
            <w:shd w:color="auto" w:fill="auto" w:val="clear"/>
          </w:tcPr>
          <w:p>
            <w:pPr>
              <w:pStyle w:val="Normal"/>
              <w:widowControl w:val="false"/>
              <w:spacing w:before="0" w:after="200"/>
              <w:ind w:left="-108" w:right="-108" w:hanging="0"/>
              <w:rPr>
                <w:rFonts w:ascii="Times New Roman" w:hAnsi="Times New Roman" w:cs="Times New Roman"/>
                <w:color w:val="000000"/>
              </w:rPr>
            </w:pPr>
            <w:r>
              <w:rPr>
                <w:rFonts w:cs="Times New Roman" w:ascii="Times New Roman" w:hAnsi="Times New Roman"/>
                <w:color w:val="000000"/>
              </w:rPr>
              <w:t>Дальнереченский ГО</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7</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Лесозаводский ГО</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23.09</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27.23</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1.18</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8</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Находкинский ГО</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41.02</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129.85</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3.17</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9</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Партизанский ГО</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26.22</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39.61</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1.51</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10</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Спасск-Дальний ГО</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11</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Уссурийский ГО</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8.23</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14.71</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1.79</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13.46</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146.93</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10.92</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12</w:t>
            </w:r>
          </w:p>
        </w:tc>
        <w:tc>
          <w:tcPr>
            <w:tcW w:w="2185" w:type="dxa"/>
            <w:tcBorders>
              <w:bottom w:val="single" w:sz="4" w:space="0" w:color="000000"/>
              <w:right w:val="single" w:sz="4" w:space="0" w:color="000000"/>
            </w:tcBorders>
            <w:shd w:color="auto" w:fill="auto" w:val="clear"/>
          </w:tcPr>
          <w:p>
            <w:pPr>
              <w:pStyle w:val="Normal"/>
              <w:widowControl w:val="false"/>
              <w:spacing w:before="0" w:after="200"/>
              <w:ind w:left="-108" w:right="-108" w:hanging="0"/>
              <w:rPr>
                <w:rFonts w:ascii="Times New Roman" w:hAnsi="Times New Roman" w:cs="Times New Roman"/>
                <w:color w:val="000000"/>
              </w:rPr>
            </w:pPr>
            <w:r>
              <w:rPr>
                <w:rFonts w:cs="Times New Roman" w:ascii="Times New Roman" w:hAnsi="Times New Roman"/>
                <w:color w:val="000000"/>
              </w:rPr>
              <w:t>ГО г. Фокино (ЗАТО)</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13</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Анучинский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33.64</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36.85</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1.10</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14</w:t>
            </w:r>
          </w:p>
        </w:tc>
        <w:tc>
          <w:tcPr>
            <w:tcW w:w="2185" w:type="dxa"/>
            <w:tcBorders>
              <w:bottom w:val="single" w:sz="4" w:space="0" w:color="000000"/>
              <w:right w:val="single" w:sz="4" w:space="0" w:color="000000"/>
            </w:tcBorders>
            <w:shd w:color="auto" w:fill="auto" w:val="clear"/>
          </w:tcPr>
          <w:p>
            <w:pPr>
              <w:pStyle w:val="Normal"/>
              <w:widowControl w:val="false"/>
              <w:spacing w:before="0" w:after="200"/>
              <w:ind w:left="-108" w:right="-108" w:hanging="0"/>
              <w:rPr>
                <w:rFonts w:ascii="Times New Roman" w:hAnsi="Times New Roman" w:cs="Times New Roman"/>
                <w:color w:val="000000"/>
              </w:rPr>
            </w:pPr>
            <w:r>
              <w:rPr>
                <w:rFonts w:cs="Times New Roman" w:ascii="Times New Roman" w:hAnsi="Times New Roman"/>
                <w:color w:val="000000"/>
              </w:rPr>
              <w:t>Дальнереченский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15</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Кавалеровский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29.03</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5.62</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0.19</w:t>
            </w:r>
          </w:p>
        </w:tc>
      </w:tr>
      <w:tr>
        <w:trPr>
          <w:trHeight w:val="289"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16</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Кировский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2.88</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0.77</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0.27</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83.04</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17.76</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0.21</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17</w:t>
            </w:r>
          </w:p>
        </w:tc>
        <w:tc>
          <w:tcPr>
            <w:tcW w:w="2185" w:type="dxa"/>
            <w:tcBorders>
              <w:bottom w:val="single" w:sz="4" w:space="0" w:color="000000"/>
              <w:right w:val="single" w:sz="4" w:space="0" w:color="000000"/>
            </w:tcBorders>
            <w:shd w:color="auto" w:fill="auto" w:val="clear"/>
          </w:tcPr>
          <w:p>
            <w:pPr>
              <w:pStyle w:val="Normal"/>
              <w:widowControl w:val="false"/>
              <w:spacing w:before="0" w:after="200"/>
              <w:ind w:left="-108" w:right="-108" w:hanging="0"/>
              <w:rPr>
                <w:rFonts w:ascii="Times New Roman" w:hAnsi="Times New Roman" w:cs="Times New Roman"/>
                <w:color w:val="000000"/>
              </w:rPr>
            </w:pPr>
            <w:r>
              <w:rPr>
                <w:rFonts w:cs="Times New Roman" w:ascii="Times New Roman" w:hAnsi="Times New Roman"/>
                <w:color w:val="000000"/>
              </w:rPr>
              <w:t>Красноармейский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21.71</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4.09</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0.19</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0.91</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18</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Лазовский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1.38</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34.57</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29.92</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0.87</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19</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Михайловский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20</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Надеждинский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49.90</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21</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Октябрьский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1.49</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23.88</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23.69</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0.99</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22</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Ольгинский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41.24</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4.16</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0.10</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23</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Партизанский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1.15</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33.47</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25.93</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0.77</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24</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Пограничный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25</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Пожарский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1.49</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0.33</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0.22</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34.24</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10.56</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0.31</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26</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Спасский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3.10</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0.91</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0.29</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15.79</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20.91</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1.32</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27</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Тернейский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21.71</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0.40</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0.02</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0.49</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28</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Ханкайский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2.96</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1.62</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0.55</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16.41</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18.68</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1.14</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29</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Хасанский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3.93</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14.3</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3.64</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34.23</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73.62</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2.15</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30</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Хорольский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2.69</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1.62</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0.60</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22.74</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10.84</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0.48</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31</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Черниговский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3.16</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1.28</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0.41</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16.11</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32</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Чугуевский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11.60</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0.27</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0.02</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33</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Шкотовский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21.71</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11.74</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0.54</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26.23</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58.87</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2.24</w:t>
            </w:r>
          </w:p>
        </w:tc>
      </w:tr>
      <w:tr>
        <w:trPr>
          <w:trHeight w:val="20" w:hRule="atLeast"/>
        </w:trPr>
        <w:tc>
          <w:tcPr>
            <w:tcW w:w="52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34</w:t>
            </w:r>
          </w:p>
        </w:tc>
        <w:tc>
          <w:tcPr>
            <w:tcW w:w="218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Яковлевский МР</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0.6</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19.31</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17.72</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color w:val="000000"/>
              </w:rPr>
            </w:pPr>
            <w:r>
              <w:rPr>
                <w:rFonts w:cs="Times New Roman" w:ascii="Times New Roman" w:hAnsi="Times New Roman"/>
                <w:color w:val="000000"/>
              </w:rPr>
              <w:t>0.92</w:t>
            </w:r>
          </w:p>
        </w:tc>
      </w:tr>
      <w:tr>
        <w:trPr>
          <w:trHeight w:val="521" w:hRule="atLeast"/>
        </w:trPr>
        <w:tc>
          <w:tcPr>
            <w:tcW w:w="270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b/>
                <w:b/>
                <w:bCs/>
                <w:color w:val="000000"/>
              </w:rPr>
            </w:pPr>
            <w:r>
              <w:rPr>
                <w:rFonts w:cs="Times New Roman" w:ascii="Times New Roman" w:hAnsi="Times New Roman"/>
                <w:b/>
                <w:bCs/>
                <w:color w:val="000000"/>
              </w:rPr>
              <w:t>Среднее по Приморскому краю</w:t>
            </w:r>
          </w:p>
        </w:tc>
        <w:tc>
          <w:tcPr>
            <w:tcW w:w="1096"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b/>
                <w:b/>
                <w:bCs/>
                <w:color w:val="000000"/>
              </w:rPr>
            </w:pPr>
            <w:r>
              <w:rPr>
                <w:rFonts w:cs="Times New Roman" w:ascii="Times New Roman" w:hAnsi="Times New Roman"/>
                <w:b/>
                <w:bCs/>
                <w:color w:val="000000"/>
              </w:rPr>
              <w:t>9.33</w:t>
            </w:r>
          </w:p>
        </w:tc>
        <w:tc>
          <w:tcPr>
            <w:tcW w:w="1158"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b/>
                <w:b/>
                <w:bCs/>
                <w:color w:val="000000"/>
              </w:rPr>
            </w:pPr>
            <w:r>
              <w:rPr>
                <w:rFonts w:cs="Times New Roman" w:ascii="Times New Roman" w:hAnsi="Times New Roman"/>
                <w:b/>
                <w:bCs/>
                <w:color w:val="000000"/>
              </w:rPr>
              <w:t>2.43</w:t>
            </w:r>
          </w:p>
        </w:tc>
        <w:tc>
          <w:tcPr>
            <w:tcW w:w="1101"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b/>
                <w:b/>
                <w:bCs/>
                <w:color w:val="000000"/>
              </w:rPr>
            </w:pPr>
            <w:r>
              <w:rPr>
                <w:rFonts w:cs="Times New Roman" w:ascii="Times New Roman" w:hAnsi="Times New Roman"/>
                <w:b/>
                <w:bCs/>
                <w:color w:val="000000"/>
              </w:rPr>
              <w:t>0.26</w:t>
            </w:r>
          </w:p>
        </w:tc>
        <w:tc>
          <w:tcPr>
            <w:tcW w:w="1157"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b/>
                <w:b/>
                <w:bCs/>
                <w:color w:val="000000"/>
              </w:rPr>
            </w:pPr>
            <w:r>
              <w:rPr>
                <w:rFonts w:cs="Times New Roman" w:ascii="Times New Roman" w:hAnsi="Times New Roman"/>
                <w:b/>
                <w:bCs/>
                <w:color w:val="000000"/>
              </w:rPr>
              <w:t>34.52</w:t>
            </w:r>
          </w:p>
        </w:tc>
        <w:tc>
          <w:tcPr>
            <w:tcW w:w="1155"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b/>
                <w:b/>
                <w:bCs/>
                <w:color w:val="000000"/>
              </w:rPr>
            </w:pPr>
            <w:r>
              <w:rPr>
                <w:rFonts w:cs="Times New Roman" w:ascii="Times New Roman" w:hAnsi="Times New Roman"/>
                <w:b/>
                <w:bCs/>
                <w:color w:val="000000"/>
              </w:rPr>
              <w:t>69.69</w:t>
            </w:r>
          </w:p>
        </w:tc>
        <w:tc>
          <w:tcPr>
            <w:tcW w:w="1100" w:type="dxa"/>
            <w:tcBorders>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b/>
                <w:b/>
                <w:bCs/>
                <w:color w:val="000000"/>
              </w:rPr>
            </w:pPr>
            <w:r>
              <w:rPr>
                <w:rFonts w:cs="Times New Roman" w:ascii="Times New Roman" w:hAnsi="Times New Roman"/>
                <w:b/>
                <w:bCs/>
                <w:color w:val="000000"/>
              </w:rPr>
              <w:t>2.02</w:t>
            </w:r>
          </w:p>
        </w:tc>
      </w:tr>
    </w:tbl>
    <w:p>
      <w:pPr>
        <w:pStyle w:val="Normal"/>
        <w:shd w:val="clear" w:color="auto" w:fill="FFFFFF"/>
        <w:spacing w:lineRule="auto" w:line="240" w:before="0" w:after="0"/>
        <w:ind w:firstLine="641"/>
        <w:jc w:val="center"/>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contextualSpacing/>
        <w:jc w:val="both"/>
        <w:rPr>
          <w:rFonts w:ascii="Times New Roman" w:hAnsi="Times New Roman"/>
          <w:sz w:val="28"/>
          <w:szCs w:val="28"/>
        </w:rPr>
      </w:pPr>
      <w:r>
        <w:rPr>
          <w:rFonts w:ascii="Times New Roman" w:hAnsi="Times New Roman"/>
          <w:sz w:val="28"/>
          <w:szCs w:val="28"/>
        </w:rPr>
        <w:t xml:space="preserve"> </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 w:ascii="Times New Roman" w:hAnsi="Times New Roman" w:cstheme="majorBidi" w:eastAsiaTheme="majorEastAsia"/>
          <w:b/>
          <w:sz w:val="28"/>
          <w:szCs w:val="28"/>
          <w:lang w:eastAsia="en-US" w:bidi="en-US"/>
        </w:rPr>
        <w:t>Земли лесного фонда</w:t>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 w:cstheme="majorBidi" w:eastAsiaTheme="majorEastAsia" w:ascii="Times New Roman" w:hAnsi="Times New Roman"/>
          <w:b/>
          <w:sz w:val="28"/>
          <w:szCs w:val="28"/>
          <w:lang w:eastAsia="en-US" w:bidi="en-US"/>
        </w:rPr>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Методикой государственной кадастровой оценки земель лесного фонда Российской Федерации предусмотрено проведение кадастровой оценки земель лесного фонда в два этапа. Первый этап оценки проведен во всех субъектах Российской Федерации, его результатом являются средние для субъекта Российской Федерации удельные показатели кадастровой стоимости земель лесного фонда.</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При проведении второго этапа государственной кадастровой оценки земель лесного фонда рассчитываются удельные показатели кадастровой стоимости лесных земель в границах лесхозов. В Приморском крае второй этап ГКОЗ лесного фонда был завершен в 2004 году. Результаты утверждены постановлением Губернатора – главы Администрации Приморского края от 31.12.2004 года № 433 «Об утверждении результатов государственной кадастровой оценке земель лесного фонда Приморского края». Основные результаты кадастровой стоимости земель лесного фонда Приморского края приведены в таблице 26.</w:t>
      </w:r>
    </w:p>
    <w:p>
      <w:pPr>
        <w:pStyle w:val="Normal"/>
        <w:spacing w:lineRule="auto" w:line="240" w:before="0" w:after="0"/>
        <w:jc w:val="center"/>
        <w:rPr>
          <w:rFonts w:ascii="Times New Roman" w:hAnsi="Times New Roman"/>
          <w:b/>
          <w:b/>
          <w:sz w:val="24"/>
          <w:szCs w:val="24"/>
        </w:rPr>
      </w:pPr>
      <w:r>
        <w:rPr>
          <w:rFonts w:ascii="Times New Roman" w:hAnsi="Times New Roman"/>
          <w:b/>
          <w:sz w:val="24"/>
          <w:szCs w:val="24"/>
        </w:rPr>
      </w:r>
    </w:p>
    <w:p>
      <w:pPr>
        <w:pStyle w:val="Normal"/>
        <w:spacing w:lineRule="auto" w:line="240" w:before="0" w:after="0"/>
        <w:jc w:val="center"/>
        <w:rPr>
          <w:rFonts w:ascii="Times New Roman" w:hAnsi="Times New Roman"/>
          <w:b/>
          <w:b/>
          <w:sz w:val="28"/>
          <w:szCs w:val="28"/>
        </w:rPr>
      </w:pPr>
      <w:r>
        <w:rPr>
          <w:rFonts w:ascii="Times New Roman" w:hAnsi="Times New Roman"/>
          <w:b/>
          <w:sz w:val="24"/>
          <w:szCs w:val="24"/>
        </w:rPr>
        <w:t>Кадастровая стоимость земель лесного фонда Приморского края</w:t>
      </w:r>
    </w:p>
    <w:p>
      <w:pPr>
        <w:pStyle w:val="Normal"/>
        <w:spacing w:lineRule="auto" w:line="240"/>
        <w:ind w:right="-218" w:hanging="0"/>
        <w:jc w:val="right"/>
        <w:rPr>
          <w:rFonts w:ascii="Times New Roman" w:hAnsi="Times New Roman"/>
          <w:color w:val="000000"/>
          <w:sz w:val="24"/>
          <w:szCs w:val="24"/>
        </w:rPr>
      </w:pPr>
      <w:r>
        <w:rPr>
          <w:rFonts w:ascii="Times New Roman" w:hAnsi="Times New Roman"/>
          <w:color w:val="000000"/>
          <w:sz w:val="24"/>
          <w:szCs w:val="24"/>
        </w:rPr>
        <w:t>Таблица 26</w:t>
      </w:r>
    </w:p>
    <w:tbl>
      <w:tblPr>
        <w:tblW w:w="1042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14"/>
        <w:gridCol w:w="1057"/>
        <w:gridCol w:w="794"/>
        <w:gridCol w:w="962"/>
        <w:gridCol w:w="1004"/>
        <w:gridCol w:w="915"/>
        <w:gridCol w:w="939"/>
        <w:gridCol w:w="996"/>
        <w:gridCol w:w="759"/>
        <w:gridCol w:w="987"/>
      </w:tblGrid>
      <w:tr>
        <w:trPr>
          <w:trHeight w:val="1790" w:hRule="atLeast"/>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Наименование лесхоза</w:t>
            </w:r>
          </w:p>
        </w:tc>
        <w:tc>
          <w:tcPr>
            <w:tcW w:w="105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0"/>
              <w:ind w:right="113" w:hanging="0"/>
              <w:jc w:val="center"/>
              <w:rPr>
                <w:rFonts w:ascii="Times New Roman" w:hAnsi="Times New Roman"/>
                <w:sz w:val="20"/>
                <w:szCs w:val="20"/>
              </w:rPr>
            </w:pPr>
            <w:r>
              <w:rPr>
                <w:rFonts w:ascii="Times New Roman" w:hAnsi="Times New Roman"/>
                <w:sz w:val="20"/>
                <w:szCs w:val="20"/>
              </w:rPr>
              <w:t>Площадь лесных земель, га</w:t>
            </w:r>
          </w:p>
        </w:tc>
        <w:tc>
          <w:tcPr>
            <w:tcW w:w="794"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0"/>
              <w:ind w:right="113" w:hanging="0"/>
              <w:jc w:val="center"/>
              <w:rPr>
                <w:rFonts w:ascii="Times New Roman" w:hAnsi="Times New Roman"/>
                <w:spacing w:val="-10"/>
                <w:sz w:val="20"/>
                <w:szCs w:val="20"/>
              </w:rPr>
            </w:pPr>
            <w:r>
              <w:rPr>
                <w:rFonts w:ascii="Times New Roman" w:hAnsi="Times New Roman"/>
                <w:spacing w:val="-10"/>
                <w:sz w:val="20"/>
                <w:szCs w:val="20"/>
              </w:rPr>
              <w:t>Число лет в средневзвешенном обороте рубки</w:t>
            </w:r>
          </w:p>
        </w:tc>
        <w:tc>
          <w:tcPr>
            <w:tcW w:w="962"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0"/>
              <w:ind w:right="113" w:hanging="0"/>
              <w:jc w:val="center"/>
              <w:rPr>
                <w:rFonts w:ascii="Times New Roman" w:hAnsi="Times New Roman"/>
                <w:sz w:val="20"/>
                <w:szCs w:val="20"/>
              </w:rPr>
            </w:pPr>
            <w:r>
              <w:rPr>
                <w:rFonts w:ascii="Times New Roman" w:hAnsi="Times New Roman"/>
                <w:sz w:val="20"/>
                <w:szCs w:val="20"/>
              </w:rPr>
              <w:t>Средневзвешенная плата, руб./куб.м.</w:t>
            </w:r>
          </w:p>
        </w:tc>
        <w:tc>
          <w:tcPr>
            <w:tcW w:w="1004"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0"/>
              <w:ind w:right="113" w:hanging="0"/>
              <w:jc w:val="center"/>
              <w:rPr>
                <w:rFonts w:ascii="Times New Roman" w:hAnsi="Times New Roman"/>
                <w:sz w:val="20"/>
                <w:szCs w:val="20"/>
              </w:rPr>
            </w:pPr>
            <w:r>
              <w:rPr>
                <w:rFonts w:ascii="Times New Roman" w:hAnsi="Times New Roman"/>
                <w:sz w:val="20"/>
                <w:szCs w:val="20"/>
              </w:rPr>
              <w:t>Продуктивность руб./га</w:t>
            </w:r>
          </w:p>
        </w:tc>
        <w:tc>
          <w:tcPr>
            <w:tcW w:w="915"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0"/>
              <w:ind w:right="113" w:hanging="0"/>
              <w:jc w:val="center"/>
              <w:rPr>
                <w:rFonts w:ascii="Times New Roman" w:hAnsi="Times New Roman"/>
                <w:sz w:val="20"/>
                <w:szCs w:val="20"/>
              </w:rPr>
            </w:pPr>
            <w:r>
              <w:rPr>
                <w:rFonts w:ascii="Times New Roman" w:hAnsi="Times New Roman"/>
                <w:sz w:val="20"/>
                <w:szCs w:val="20"/>
              </w:rPr>
              <w:t>Оценочные затраты, руб./га</w:t>
            </w:r>
          </w:p>
        </w:tc>
        <w:tc>
          <w:tcPr>
            <w:tcW w:w="939"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0"/>
              <w:ind w:right="113" w:hanging="0"/>
              <w:jc w:val="center"/>
              <w:rPr>
                <w:rFonts w:ascii="Times New Roman" w:hAnsi="Times New Roman"/>
                <w:sz w:val="20"/>
                <w:szCs w:val="20"/>
              </w:rPr>
            </w:pPr>
            <w:r>
              <w:rPr>
                <w:rFonts w:ascii="Times New Roman" w:hAnsi="Times New Roman"/>
                <w:sz w:val="20"/>
                <w:szCs w:val="20"/>
              </w:rPr>
              <w:t>Цена производства древесины, руб./га</w:t>
            </w:r>
          </w:p>
        </w:tc>
        <w:tc>
          <w:tcPr>
            <w:tcW w:w="996"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0"/>
              <w:ind w:right="113" w:hanging="0"/>
              <w:jc w:val="center"/>
              <w:rPr>
                <w:rFonts w:ascii="Times New Roman" w:hAnsi="Times New Roman"/>
                <w:spacing w:val="-10"/>
                <w:sz w:val="20"/>
                <w:szCs w:val="20"/>
              </w:rPr>
            </w:pPr>
            <w:r>
              <w:rPr>
                <w:rFonts w:ascii="Times New Roman" w:hAnsi="Times New Roman"/>
                <w:spacing w:val="-10"/>
                <w:sz w:val="20"/>
                <w:szCs w:val="20"/>
              </w:rPr>
              <w:t>Дифференциальный рентный доход за период оборота рубки, руб./га</w:t>
            </w:r>
          </w:p>
        </w:tc>
        <w:tc>
          <w:tcPr>
            <w:tcW w:w="759"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0"/>
              <w:ind w:right="113" w:hanging="0"/>
              <w:jc w:val="both"/>
              <w:rPr>
                <w:rFonts w:ascii="Times New Roman" w:hAnsi="Times New Roman"/>
                <w:sz w:val="20"/>
                <w:szCs w:val="20"/>
              </w:rPr>
            </w:pPr>
            <w:r>
              <w:rPr>
                <w:rFonts w:ascii="Times New Roman" w:hAnsi="Times New Roman"/>
                <w:sz w:val="20"/>
                <w:szCs w:val="20"/>
              </w:rPr>
              <w:t>Годовой расчетный рентный доход, руб./га</w:t>
            </w:r>
          </w:p>
        </w:tc>
        <w:tc>
          <w:tcPr>
            <w:tcW w:w="98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40" w:before="0" w:after="0"/>
              <w:ind w:right="113" w:hanging="0"/>
              <w:jc w:val="center"/>
              <w:rPr>
                <w:rFonts w:ascii="Times New Roman" w:hAnsi="Times New Roman"/>
                <w:sz w:val="20"/>
                <w:szCs w:val="20"/>
              </w:rPr>
            </w:pPr>
            <w:r>
              <w:rPr>
                <w:rFonts w:ascii="Times New Roman" w:hAnsi="Times New Roman"/>
                <w:sz w:val="20"/>
                <w:szCs w:val="20"/>
              </w:rPr>
              <w:t>Кадастровая стоимость лесных земель, руб./га</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8</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Анучинский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279651</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98.7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46.3</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9453.5</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2351.1</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2515.7</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6937.8</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78.3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3914</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Арсеньевский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259238</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113.7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55.9</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10918.6</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3099.0</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3315.9</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7602.7</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74.8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3742</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Артемовский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17668</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109.8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153.5</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28789.1</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2660.6</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2846.8</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25942.3</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244.3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12217</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Барабашский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133967</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118.1</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23633.7</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2639.7</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2824.5</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20809.3</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211.5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10577</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Верхне-Перевальненский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1507352</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120.0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23.1</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6730.3</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2848.2</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3047.5</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3682.8</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38.7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1934</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Владивостокский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94542</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104.1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78.3</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18955.5</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3249.4</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3476.9</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15478.7</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156.7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7835</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Дальнереченский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138683</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113.3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95.8</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19526.9</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4211.9</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4506.7</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15020.2</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140.6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7030</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Ивановский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109400</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109.2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50.3</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14417.2</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6741.6</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7213.5</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7203.7</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74.0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3700</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Измайлихинский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276211</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121.1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57.6</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10546.0</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2490.1</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2664.4</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7881.6</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73.1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3654</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Кавалеровский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344623</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105.0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47.9</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9116.0</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3251.0</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3478.6</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5637.4</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61.7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3084</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Кировский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324077</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115.5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87.6</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18537.9</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7881.8</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8433.5</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10104.4</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95.4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4772</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Кокшаровский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474455</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126.4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37.1</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8031.8</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2757.7</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2950.7</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5081.0</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48.2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2410</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Лазовский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401945</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94.3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93.0</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18158.4</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2611.7</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2794.5</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15363.8</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170.9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8547</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Малиновский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427983</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122.3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40.8</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9595.4</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3257.1</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3485.0</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6110.4</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58.0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2899</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Мельничный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710347</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108.7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18.7</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4871.1</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2702.5</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2891.7</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1979.4</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26.2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1310</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Ольгинский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577139</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100.0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93.6</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17895.3</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2577.6</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2758.0</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15137.3</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159.3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7966</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Партизанский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91807</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93.9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60.4</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15591.8</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2760.0</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2953.2</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12638.6</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142.7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7133</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Пограничный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288866</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122.4</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17846.7</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3714.7</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3974.8</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13871.9</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130.9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6545</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Пожарский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495439</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113.4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43.8</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9827.4</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3057.7</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3271.7</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6555.7</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65.8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3291</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Рощинский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861285</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134.0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33.2</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9180.2</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2964.2</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3171.7</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6008.5</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52.8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2642</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Самаргинский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981504</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100.0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17.0</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4751.9</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2007.4</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2147.9</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2603.9</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34.0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1702</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Светлинский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762218</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86.3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24.3</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5701.6</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2820.2</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3017.7</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2683.9</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39.1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1955</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Сергеевский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283202</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63.4</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12951.8</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2763.9</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2957.4</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9994.4</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112.0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5601</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Спасский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146686</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110.2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71.6</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14909.6</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3265.7</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3494.3</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11415.2</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111.6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5579</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Тернейский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817691</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47.3</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9163.6</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4777.8</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5112.3</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4051.4</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50.0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2498</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Уссурийский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152938</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94.9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98.7</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21199.8</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2643.9</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2829.0</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18370.8</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201.5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10076</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Черниговский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68907</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90.0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75.1</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16315.1</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2497.8</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2672.6</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13642.5</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159.6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7978</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Чугуевский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519223</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99.4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26.2</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6189.0</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3421.4</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3660.9</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2528.1</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33.4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1671</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Шкотовский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202488</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120.0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84.0</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21733.3</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3166.6</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3388.3</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18345.0</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160.8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8041</w:t>
            </w:r>
          </w:p>
        </w:tc>
      </w:tr>
      <w:tr>
        <w:trPr/>
        <w:tc>
          <w:tcPr>
            <w:tcW w:w="20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Шумнинский</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256008</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109.2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37.3</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7804.7</w:t>
            </w:r>
          </w:p>
        </w:tc>
        <w:tc>
          <w:tcPr>
            <w:tcW w:w="9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2657.9</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2843.9</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4960.8</w:t>
            </w:r>
          </w:p>
        </w:tc>
        <w:tc>
          <w:tcPr>
            <w:tcW w:w="7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53.4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2671</w:t>
            </w:r>
          </w:p>
        </w:tc>
      </w:tr>
    </w:tbl>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r>
    </w:p>
    <w:p>
      <w:pPr>
        <w:pStyle w:val="Normal"/>
        <w:widowControl w:val="false"/>
        <w:spacing w:lineRule="auto" w:line="360" w:before="0" w:after="0"/>
        <w:jc w:val="center"/>
        <w:rPr>
          <w:rFonts w:ascii="Times New Roman" w:hAnsi="Times New Roman" w:eastAsia="" w:cs="" w:cstheme="majorBidi" w:eastAsiaTheme="majorEastAsia"/>
          <w:b/>
          <w:b/>
          <w:sz w:val="28"/>
          <w:szCs w:val="28"/>
          <w:lang w:eastAsia="en-US" w:bidi="en-US"/>
        </w:rPr>
      </w:pPr>
      <w:r>
        <w:rPr>
          <w:rFonts w:eastAsia="" w:cs="" w:ascii="Times New Roman" w:hAnsi="Times New Roman" w:cstheme="majorBidi" w:eastAsiaTheme="majorEastAsia"/>
          <w:b/>
          <w:sz w:val="28"/>
          <w:szCs w:val="28"/>
          <w:lang w:val="en-US" w:eastAsia="en-US" w:bidi="en-US"/>
        </w:rPr>
        <w:t>Земли водного фонда</w:t>
      </w:r>
    </w:p>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t>В 2016 году на территории Приморского края проведены работы по государственной кадастровой оценке земель водного фонда. Оценка земель водного фонда проводилась в соответствии с приказом Министерства экономического развития и торговли Российской Федерации от 14.05.2005 г. № 99</w:t>
      </w:r>
      <w:r>
        <w:rPr>
          <w:szCs w:val="24"/>
        </w:rPr>
        <w:t xml:space="preserve"> </w:t>
      </w:r>
      <w:r>
        <w:rPr>
          <w:rFonts w:ascii="Times New Roman" w:hAnsi="Times New Roman"/>
          <w:sz w:val="28"/>
          <w:szCs w:val="28"/>
        </w:rPr>
        <w:t>«Об утверждении методических рекомендаций по государственной кадастровой оценке земель водного фонда».</w:t>
      </w:r>
    </w:p>
    <w:p>
      <w:pPr>
        <w:pStyle w:val="Normal"/>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 xml:space="preserve">В соответствии с Методическими рекомендациями земельные участки в составе земель водного фонда объединяются в шесть групп. </w:t>
      </w:r>
    </w:p>
    <w:p>
      <w:pPr>
        <w:pStyle w:val="Normal"/>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1-ая группа ВРИ – земельные участки, занятые обособленными водными объектами, находящимися в обороте в соответствии с законодательством Российской Федерации.</w:t>
      </w:r>
    </w:p>
    <w:p>
      <w:pPr>
        <w:pStyle w:val="Normal"/>
        <w:tabs>
          <w:tab w:val="clear" w:pos="708"/>
          <w:tab w:val="left" w:pos="284" w:leader="none"/>
          <w:tab w:val="left" w:pos="567" w:leader="none"/>
          <w:tab w:val="left" w:pos="1276" w:leader="none"/>
          <w:tab w:val="left" w:pos="1701" w:leader="none"/>
        </w:tabs>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 xml:space="preserve">2-ая группа ВРИ – земельные участки, занятые: </w:t>
      </w:r>
    </w:p>
    <w:p>
      <w:pPr>
        <w:pStyle w:val="Normal"/>
        <w:widowControl w:val="false"/>
        <w:numPr>
          <w:ilvl w:val="0"/>
          <w:numId w:val="7"/>
        </w:numPr>
        <w:tabs>
          <w:tab w:val="clear" w:pos="708"/>
          <w:tab w:val="left" w:pos="851" w:leader="none"/>
        </w:tabs>
        <w:spacing w:lineRule="auto" w:line="240" w:before="0" w:after="0"/>
        <w:ind w:firstLine="567"/>
        <w:contextualSpacing/>
        <w:jc w:val="both"/>
        <w:textAlignment w:val="baseline"/>
        <w:rPr>
          <w:rFonts w:ascii="Times New Roman" w:hAnsi="Times New Roman"/>
          <w:sz w:val="28"/>
          <w:szCs w:val="28"/>
        </w:rPr>
      </w:pPr>
      <w:r>
        <w:rPr>
          <w:rFonts w:ascii="Times New Roman" w:hAnsi="Times New Roman"/>
          <w:sz w:val="28"/>
          <w:szCs w:val="28"/>
        </w:rPr>
        <w:t>обособленными водными объектами, изъятыми из оборота или ограниченными в обороте в соответствии с законодательством Российской Федерации;</w:t>
      </w:r>
    </w:p>
    <w:p>
      <w:pPr>
        <w:pStyle w:val="Normal"/>
        <w:widowControl w:val="false"/>
        <w:numPr>
          <w:ilvl w:val="0"/>
          <w:numId w:val="7"/>
        </w:numPr>
        <w:tabs>
          <w:tab w:val="clear" w:pos="708"/>
          <w:tab w:val="left" w:pos="851" w:leader="none"/>
        </w:tabs>
        <w:spacing w:lineRule="auto" w:line="240" w:before="0" w:after="0"/>
        <w:ind w:firstLine="567"/>
        <w:contextualSpacing/>
        <w:jc w:val="both"/>
        <w:textAlignment w:val="baseline"/>
        <w:rPr>
          <w:rFonts w:ascii="Times New Roman" w:hAnsi="Times New Roman"/>
          <w:sz w:val="28"/>
          <w:szCs w:val="28"/>
        </w:rPr>
      </w:pPr>
      <w:r>
        <w:rPr>
          <w:rFonts w:ascii="Times New Roman" w:hAnsi="Times New Roman"/>
          <w:sz w:val="28"/>
          <w:szCs w:val="28"/>
        </w:rPr>
        <w:t>сооружениями, предназначенными для защиты от наводнений и разрушений берегов водохранилищ, берегов и дна русел рек; сооружениями (дамбами), ограждающими хранилища жидких отходов промышленных и сельскохозяйственных организаций; устройствами от размывов на каналах, а также другими сооружениями, предназначенными для предотвращения вредного воздействия вод и жидких отходов в составе земель водоохранных зон водных объектов, а также земель, выделяемых для установления полос отвода и зон охраны водозаборов, гидротехнических сооружений и иных водохозяйственных сооружений и объектов.</w:t>
      </w:r>
    </w:p>
    <w:p>
      <w:pPr>
        <w:pStyle w:val="Normal"/>
        <w:widowControl w:val="fals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3-я группа ВРИ – земельные участки в составе земель водоохранных зон водных объектов, а также земель, выделяемых для установления полос отвода и зон охраны водозаборов, гидротехнических сооружений и иных водохозяйственных сооружений и объектов, занятые:</w:t>
      </w:r>
    </w:p>
    <w:p>
      <w:pPr>
        <w:pStyle w:val="Normal"/>
        <w:widowControl w:val="false"/>
        <w:numPr>
          <w:ilvl w:val="0"/>
          <w:numId w:val="9"/>
        </w:numPr>
        <w:tabs>
          <w:tab w:val="clear" w:pos="708"/>
          <w:tab w:val="left" w:pos="851" w:leader="none"/>
        </w:tabs>
        <w:spacing w:lineRule="auto" w:line="240" w:before="0" w:after="0"/>
        <w:ind w:firstLine="567"/>
        <w:contextualSpacing/>
        <w:jc w:val="both"/>
        <w:textAlignment w:val="baseline"/>
        <w:rPr>
          <w:rFonts w:ascii="Times New Roman" w:hAnsi="Times New Roman"/>
          <w:sz w:val="28"/>
          <w:szCs w:val="28"/>
        </w:rPr>
      </w:pPr>
      <w:r>
        <w:rPr>
          <w:rFonts w:ascii="Times New Roman" w:hAnsi="Times New Roman"/>
          <w:sz w:val="28"/>
          <w:szCs w:val="28"/>
        </w:rPr>
        <w:t>объектами водоснабжения;</w:t>
      </w:r>
    </w:p>
    <w:p>
      <w:pPr>
        <w:pStyle w:val="Normal"/>
        <w:widowControl w:val="false"/>
        <w:numPr>
          <w:ilvl w:val="0"/>
          <w:numId w:val="9"/>
        </w:numPr>
        <w:tabs>
          <w:tab w:val="clear" w:pos="708"/>
          <w:tab w:val="left" w:pos="851" w:leader="none"/>
        </w:tabs>
        <w:spacing w:lineRule="auto" w:line="240" w:before="0" w:after="0"/>
        <w:ind w:firstLine="567"/>
        <w:contextualSpacing/>
        <w:jc w:val="both"/>
        <w:textAlignment w:val="baseline"/>
        <w:rPr>
          <w:rFonts w:ascii="Times New Roman" w:hAnsi="Times New Roman"/>
          <w:sz w:val="28"/>
          <w:szCs w:val="28"/>
        </w:rPr>
      </w:pPr>
      <w:r>
        <w:rPr>
          <w:rFonts w:ascii="Times New Roman" w:hAnsi="Times New Roman"/>
          <w:sz w:val="28"/>
          <w:szCs w:val="28"/>
        </w:rPr>
        <w:t>объектами рыбного и охотничьего хозяйства;</w:t>
      </w:r>
    </w:p>
    <w:p>
      <w:pPr>
        <w:pStyle w:val="Normal"/>
        <w:widowControl w:val="false"/>
        <w:numPr>
          <w:ilvl w:val="0"/>
          <w:numId w:val="9"/>
        </w:numPr>
        <w:tabs>
          <w:tab w:val="clear" w:pos="708"/>
          <w:tab w:val="left" w:pos="851" w:leader="none"/>
        </w:tabs>
        <w:spacing w:lineRule="auto" w:line="240" w:before="0" w:after="0"/>
        <w:ind w:firstLine="567"/>
        <w:contextualSpacing/>
        <w:jc w:val="both"/>
        <w:textAlignment w:val="baseline"/>
        <w:rPr>
          <w:rFonts w:ascii="Times New Roman" w:hAnsi="Times New Roman"/>
          <w:sz w:val="28"/>
          <w:szCs w:val="28"/>
        </w:rPr>
      </w:pPr>
      <w:r>
        <w:rPr>
          <w:rFonts w:ascii="Times New Roman" w:hAnsi="Times New Roman"/>
          <w:sz w:val="28"/>
          <w:szCs w:val="28"/>
        </w:rPr>
        <w:t>гидротехническими сооружениями (за исключением сооружений, предназначенных для защиты от наводнений и разрушений берегов водохранилищ, берегов и дна русел рек; сооружений (дамб), ограждающих хранилища жидких отходов промышленных и сельскохозяйственных организаций; устройств от размывов на каналах, а также других сооружений, предназначенных для предотвращения вредного воздействия вод и жидких отходов);</w:t>
      </w:r>
    </w:p>
    <w:p>
      <w:pPr>
        <w:pStyle w:val="Normal"/>
        <w:widowControl w:val="false"/>
        <w:numPr>
          <w:ilvl w:val="0"/>
          <w:numId w:val="8"/>
        </w:numPr>
        <w:tabs>
          <w:tab w:val="clear" w:pos="708"/>
          <w:tab w:val="left" w:pos="851" w:leader="none"/>
        </w:tabs>
        <w:spacing w:lineRule="auto" w:line="240" w:before="0" w:after="0"/>
        <w:ind w:firstLine="567"/>
        <w:contextualSpacing/>
        <w:jc w:val="both"/>
        <w:textAlignment w:val="baseline"/>
        <w:rPr>
          <w:rFonts w:ascii="Times New Roman" w:hAnsi="Times New Roman"/>
          <w:sz w:val="28"/>
          <w:szCs w:val="28"/>
        </w:rPr>
      </w:pPr>
      <w:r>
        <w:rPr>
          <w:rFonts w:ascii="Times New Roman" w:hAnsi="Times New Roman"/>
          <w:sz w:val="28"/>
          <w:szCs w:val="28"/>
        </w:rPr>
        <w:t>водозаборными, портовыми и иными водохозяйственными сооружениями и объектами.</w:t>
      </w:r>
    </w:p>
    <w:p>
      <w:pPr>
        <w:pStyle w:val="Normal"/>
        <w:widowControl w:val="fals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4-ая группа ВРИ – земельные участки в составе земель водоохранных зон водных объектов, а также земель, выделяемых для установления полос отвода и зон охраны водозаборов, гидротехнических сооружений и иных водохозяйственных сооружений и объектов, занятые древесно-кустарниковой или иной растительностью.</w:t>
      </w:r>
    </w:p>
    <w:p>
      <w:pPr>
        <w:pStyle w:val="Normal"/>
        <w:widowControl w:val="fals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5-ая группа ВРИ – земельные участки в составе земель водоохранных зон водных объектов, а также земель, выделяемых для установления полос отвода и зон охраны водозаборов, гидротехнических сооружений и иных водохозяйственных сооружений и объектов, предоставленные садоводческим, огородническим и дачным объединениям.</w:t>
      </w:r>
    </w:p>
    <w:p>
      <w:pPr>
        <w:pStyle w:val="Normal"/>
        <w:widowControl w:val="false"/>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6-ая группа ВРИ - земельные участки в составе земель водоохранных зон водных объектов, а также земель, выделяемых для установления полос отвода и зон охраны водозаборов, гидротехнических сооружений и иных водохозяйственных сооружений и объектов, занятые объектами рекреации.</w:t>
      </w:r>
    </w:p>
    <w:p>
      <w:pPr>
        <w:pStyle w:val="Normal"/>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Количество земельных участков в составе земель водного фонда Приморского края, подлежащих государственной кадастровой оценке, в разрезе групп ВРИ и муниципальных образований приведено в таблице 27.</w:t>
      </w:r>
    </w:p>
    <w:p>
      <w:pPr>
        <w:pStyle w:val="Normal"/>
        <w:shd w:val="clear" w:color="auto" w:fill="FFFFFF"/>
        <w:spacing w:lineRule="auto" w:line="240" w:before="0" w:after="0"/>
        <w:ind w:firstLine="709"/>
        <w:jc w:val="right"/>
        <w:rPr>
          <w:rFonts w:ascii="Times New Roman" w:hAnsi="Times New Roman"/>
          <w:sz w:val="28"/>
          <w:szCs w:val="28"/>
        </w:rPr>
      </w:pPr>
      <w:r>
        <w:rPr>
          <w:rFonts w:ascii="Times New Roman" w:hAnsi="Times New Roman"/>
          <w:sz w:val="28"/>
          <w:szCs w:val="28"/>
        </w:rPr>
        <w:t>Таблица 27</w:t>
      </w:r>
    </w:p>
    <w:tbl>
      <w:tblPr>
        <w:tblW w:w="9371" w:type="dxa"/>
        <w:jc w:val="left"/>
        <w:tblInd w:w="93" w:type="dxa"/>
        <w:tblLayout w:type="fixed"/>
        <w:tblCellMar>
          <w:top w:w="0" w:type="dxa"/>
          <w:left w:w="108" w:type="dxa"/>
          <w:bottom w:w="0" w:type="dxa"/>
          <w:right w:w="108" w:type="dxa"/>
        </w:tblCellMar>
        <w:tblLook w:val="04a0" w:noHBand="0" w:noVBand="1" w:firstColumn="1" w:lastRow="0" w:lastColumn="0" w:firstRow="1"/>
      </w:tblPr>
      <w:tblGrid>
        <w:gridCol w:w="441"/>
        <w:gridCol w:w="3402"/>
        <w:gridCol w:w="685"/>
        <w:gridCol w:w="685"/>
        <w:gridCol w:w="685"/>
        <w:gridCol w:w="685"/>
        <w:gridCol w:w="685"/>
        <w:gridCol w:w="685"/>
        <w:gridCol w:w="1417"/>
      </w:tblGrid>
      <w:tr>
        <w:trPr>
          <w:trHeight w:val="587" w:hRule="atLeast"/>
        </w:trPr>
        <w:tc>
          <w:tcPr>
            <w:tcW w:w="44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left="-93" w:right="-108" w:hanging="0"/>
              <w:contextualSpacing/>
              <w:jc w:val="center"/>
              <w:rPr>
                <w:rFonts w:ascii="Times New Roman" w:hAnsi="Times New Roman" w:cs="Times New Roman"/>
                <w:b/>
                <w:b/>
                <w:bCs/>
                <w:color w:val="000000"/>
              </w:rPr>
            </w:pPr>
            <w:r>
              <w:rPr>
                <w:rFonts w:cs="Times New Roman" w:ascii="Times New Roman" w:hAnsi="Times New Roman"/>
                <w:b/>
                <w:bCs/>
                <w:color w:val="000000"/>
              </w:rPr>
              <w:t xml:space="preserve">№ </w:t>
            </w:r>
            <w:r>
              <w:rPr>
                <w:rFonts w:cs="Times New Roman" w:ascii="Times New Roman" w:hAnsi="Times New Roman"/>
                <w:b/>
                <w:bCs/>
                <w:color w:val="000000"/>
              </w:rPr>
              <w:t>п/п</w:t>
            </w:r>
          </w:p>
        </w:tc>
        <w:tc>
          <w:tcPr>
            <w:tcW w:w="340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Наименование муниципального района (городского округа)</w:t>
            </w:r>
          </w:p>
        </w:tc>
        <w:tc>
          <w:tcPr>
            <w:tcW w:w="4110" w:type="dxa"/>
            <w:gridSpan w:val="6"/>
            <w:tcBorders>
              <w:top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Количество земельных участков по группам ВРИ</w:t>
            </w:r>
          </w:p>
        </w:tc>
        <w:tc>
          <w:tcPr>
            <w:tcW w:w="1417" w:type="dxa"/>
            <w:vMerge w:val="restart"/>
            <w:tcBorders>
              <w:top w:val="single" w:sz="4" w:space="0" w:color="000000"/>
              <w:bottom w:val="single" w:sz="4" w:space="0" w:color="000000"/>
              <w:right w:val="single" w:sz="4" w:space="0" w:color="000000"/>
            </w:tcBorders>
            <w:vAlign w:val="center"/>
          </w:tcPr>
          <w:p>
            <w:pPr>
              <w:pStyle w:val="Normal"/>
              <w:widowControl w:val="false"/>
              <w:spacing w:before="0" w:after="0"/>
              <w:ind w:left="-108" w:right="-108" w:hanging="0"/>
              <w:contextualSpacing/>
              <w:jc w:val="center"/>
              <w:rPr>
                <w:rFonts w:ascii="Times New Roman" w:hAnsi="Times New Roman" w:cs="Times New Roman"/>
                <w:b/>
                <w:b/>
                <w:bCs/>
                <w:color w:val="000000"/>
              </w:rPr>
            </w:pPr>
            <w:r>
              <w:rPr>
                <w:rFonts w:cs="Times New Roman" w:ascii="Times New Roman" w:hAnsi="Times New Roman"/>
                <w:b/>
                <w:bCs/>
                <w:color w:val="000000"/>
              </w:rPr>
              <w:t>Общее количество  оцениваемых земельных участков</w:t>
            </w:r>
          </w:p>
        </w:tc>
      </w:tr>
      <w:tr>
        <w:trPr>
          <w:trHeight w:val="100" w:hRule="atLeast"/>
        </w:trPr>
        <w:tc>
          <w:tcPr>
            <w:tcW w:w="44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r>
          </w:p>
        </w:tc>
        <w:tc>
          <w:tcPr>
            <w:tcW w:w="34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r>
          </w:p>
        </w:tc>
        <w:tc>
          <w:tcPr>
            <w:tcW w:w="685" w:type="dxa"/>
            <w:tcBorders>
              <w:top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1</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3</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4</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5</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6</w:t>
            </w:r>
          </w:p>
        </w:tc>
        <w:tc>
          <w:tcPr>
            <w:tcW w:w="1417" w:type="dxa"/>
            <w:vMerge w:val="continue"/>
            <w:tcBorders>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r>
          </w:p>
        </w:tc>
      </w:tr>
      <w:tr>
        <w:trPr>
          <w:trHeight w:val="92"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1</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rPr>
              <w:t>Анучинский  муниципальный  район</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r>
      <w:tr>
        <w:trPr>
          <w:trHeight w:val="125"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2</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color w:val="000000"/>
              </w:rPr>
              <w:t>Артемовский городской округ</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r>
      <w:tr>
        <w:trPr>
          <w:trHeight w:val="63"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3</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rPr>
              <w:t>Городской округ ЗАТО г. Фокино</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r>
      <w:tr>
        <w:trPr>
          <w:trHeight w:val="63"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4</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rPr>
              <w:t>Кировский муниципальный  район</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r>
      <w:tr>
        <w:trPr>
          <w:trHeight w:val="63"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5</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rPr>
              <w:t>Красноармейский  муниципальный район</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6</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6</w:t>
            </w:r>
          </w:p>
        </w:tc>
      </w:tr>
      <w:tr>
        <w:trPr>
          <w:trHeight w:val="63"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6</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rPr>
              <w:t>Лесозаводский городской округ</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r>
      <w:tr>
        <w:trPr>
          <w:trHeight w:val="63"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7</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rPr>
              <w:t>Октябрьский муниципальный  район</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2</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2</w:t>
            </w:r>
          </w:p>
        </w:tc>
      </w:tr>
      <w:tr>
        <w:trPr>
          <w:trHeight w:val="63"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8</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rPr>
              <w:t>Ольгинский муниципальный район</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5</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6</w:t>
            </w:r>
          </w:p>
        </w:tc>
      </w:tr>
      <w:tr>
        <w:trPr>
          <w:trHeight w:val="63"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9</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rPr>
              <w:t>Партизанский муниципальный  район</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5</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5</w:t>
            </w:r>
          </w:p>
        </w:tc>
      </w:tr>
      <w:tr>
        <w:trPr>
          <w:trHeight w:val="63"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10</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rPr>
              <w:t>Пожарский  муниципальный  район</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6</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7</w:t>
            </w:r>
          </w:p>
        </w:tc>
      </w:tr>
      <w:tr>
        <w:trPr>
          <w:trHeight w:val="63"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11</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rPr>
              <w:t>Спасский муниципальный  район</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5</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6</w:t>
            </w:r>
          </w:p>
        </w:tc>
      </w:tr>
      <w:tr>
        <w:trPr>
          <w:trHeight w:val="63"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12</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rPr>
              <w:t>Ханкайский  муниципальный  район</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8</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4</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13</w:t>
            </w:r>
          </w:p>
        </w:tc>
      </w:tr>
      <w:tr>
        <w:trPr>
          <w:trHeight w:val="63"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13</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rPr>
              <w:t>Хорольский  муниципальный  район</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5</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6</w:t>
            </w:r>
          </w:p>
        </w:tc>
      </w:tr>
      <w:tr>
        <w:trPr>
          <w:trHeight w:val="63"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14</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rPr>
              <w:t>Яковлевский муниципальный район</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2</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2</w:t>
            </w:r>
          </w:p>
        </w:tc>
      </w:tr>
      <w:tr>
        <w:trPr>
          <w:trHeight w:val="63" w:hRule="atLeast"/>
        </w:trPr>
        <w:tc>
          <w:tcPr>
            <w:tcW w:w="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rPr>
            </w:pPr>
            <w:r>
              <w:rPr>
                <w:rFonts w:cs="Times New Roman" w:ascii="Times New Roman" w:hAnsi="Times New Roman"/>
              </w:rPr>
              <w:t>15</w:t>
            </w:r>
          </w:p>
        </w:tc>
        <w:tc>
          <w:tcPr>
            <w:tcW w:w="34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ind w:right="-108" w:hanging="0"/>
              <w:contextualSpacing/>
              <w:rPr>
                <w:rFonts w:ascii="Times New Roman" w:hAnsi="Times New Roman" w:cs="Times New Roman"/>
              </w:rPr>
            </w:pPr>
            <w:r>
              <w:rPr>
                <w:rFonts w:cs="Times New Roman" w:ascii="Times New Roman" w:hAnsi="Times New Roman"/>
              </w:rPr>
              <w:t>Уссурийский  городской округ</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1</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7</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imes New Roman" w:hAnsi="Times New Roman" w:cs="Times New Roman"/>
                <w:color w:val="000000"/>
              </w:rPr>
            </w:pPr>
            <w:r>
              <w:rPr>
                <w:rFonts w:cs="Times New Roman" w:ascii="Times New Roman" w:hAnsi="Times New Roman"/>
                <w:color w:val="000000"/>
              </w:rPr>
              <w:t>8</w:t>
            </w:r>
          </w:p>
        </w:tc>
      </w:tr>
      <w:tr>
        <w:trPr>
          <w:trHeight w:val="63" w:hRule="atLeast"/>
        </w:trPr>
        <w:tc>
          <w:tcPr>
            <w:tcW w:w="3843" w:type="dxa"/>
            <w:gridSpan w:val="2"/>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Приморский край</w:t>
            </w:r>
          </w:p>
        </w:tc>
        <w:tc>
          <w:tcPr>
            <w:tcW w:w="68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0</w:t>
            </w:r>
          </w:p>
        </w:tc>
        <w:tc>
          <w:tcPr>
            <w:tcW w:w="68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2</w:t>
            </w:r>
          </w:p>
        </w:tc>
        <w:tc>
          <w:tcPr>
            <w:tcW w:w="68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54</w:t>
            </w:r>
          </w:p>
        </w:tc>
        <w:tc>
          <w:tcPr>
            <w:tcW w:w="68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7</w:t>
            </w:r>
          </w:p>
        </w:tc>
        <w:tc>
          <w:tcPr>
            <w:tcW w:w="68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0</w:t>
            </w:r>
          </w:p>
        </w:tc>
        <w:tc>
          <w:tcPr>
            <w:tcW w:w="68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3</w:t>
            </w:r>
          </w:p>
        </w:tc>
        <w:tc>
          <w:tcPr>
            <w:tcW w:w="1417" w:type="dxa"/>
            <w:tcBorders>
              <w:top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before="0" w:after="0"/>
              <w:contextualSpacing/>
              <w:jc w:val="center"/>
              <w:rPr>
                <w:rFonts w:ascii="Times New Roman" w:hAnsi="Times New Roman" w:cs="Times New Roman"/>
                <w:b/>
                <w:b/>
                <w:bCs/>
                <w:color w:val="000000"/>
              </w:rPr>
            </w:pPr>
            <w:r>
              <w:rPr>
                <w:rFonts w:cs="Times New Roman" w:ascii="Times New Roman" w:hAnsi="Times New Roman"/>
                <w:b/>
                <w:bCs/>
                <w:color w:val="000000"/>
              </w:rPr>
              <w:t>66</w:t>
            </w:r>
          </w:p>
        </w:tc>
      </w:tr>
    </w:tbl>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709"/>
        <w:contextualSpacing/>
        <w:jc w:val="both"/>
        <w:rPr>
          <w:rFonts w:ascii="Times New Roman" w:hAnsi="Times New Roman"/>
          <w:sz w:val="28"/>
          <w:szCs w:val="28"/>
        </w:rPr>
      </w:pPr>
      <w:r>
        <w:rPr>
          <w:rFonts w:ascii="Times New Roman" w:hAnsi="Times New Roman"/>
          <w:sz w:val="28"/>
          <w:szCs w:val="28"/>
        </w:rPr>
        <w:t>В ходе проведения группировки объектов оценки по группам ВРИ, земельные участки отнесены ко 2-ой, 3-ей, 4-ой и 6-ой группам ВРИ. В составе 1-ой и 5-ой групп объекты оценки отсутствуют.</w:t>
      </w:r>
    </w:p>
    <w:p>
      <w:pPr>
        <w:pStyle w:val="Normal"/>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Удельный показатель кадастровой стоимости земельных участков 2-ой, 3-ей, 4-ой и 6-ой групп ВРИ определены исходя из значений УПКС земель сельскохозяйственного назначения, земель промышленности и иного специального назначения, а также земель особо охраняемых территорий и объектов Приморского края, УПКС которых были рассчитаны в ходе соответствующих туров кадастровой оценки на основе рыночной информации и с учетом влияния ценообразующих факторов.</w:t>
      </w:r>
    </w:p>
    <w:p>
      <w:pPr>
        <w:pStyle w:val="Normal"/>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Средний уровень кадастровых стоимостей объектов оценки -  земельных участков, относящихся к категории земель водного фонда, расположенных на территории Приморского края, по муниципальным районам (городским округам) был рассчитан как среднее взвешенное по площади значение УПКС земельных участков водного фонда по группам ВРИ в пределах муниципальных районов (городских округов). Результаты расчета представлены в таблице 28.</w:t>
      </w:r>
    </w:p>
    <w:p>
      <w:pPr>
        <w:pStyle w:val="Normal"/>
        <w:shd w:val="clear" w:color="auto" w:fill="FFFFFF"/>
        <w:spacing w:lineRule="auto" w:line="240" w:before="0" w:after="0"/>
        <w:ind w:firstLine="709"/>
        <w:jc w:val="right"/>
        <w:rPr>
          <w:rFonts w:ascii="Times New Roman" w:hAnsi="Times New Roman"/>
          <w:sz w:val="28"/>
          <w:szCs w:val="28"/>
        </w:rPr>
      </w:pPr>
      <w:r>
        <w:rPr>
          <w:rFonts w:ascii="Times New Roman" w:hAnsi="Times New Roman"/>
          <w:sz w:val="28"/>
          <w:szCs w:val="28"/>
        </w:rPr>
        <w:t>Таблица 28</w:t>
      </w:r>
    </w:p>
    <w:p>
      <w:pPr>
        <w:pStyle w:val="Normal"/>
        <w:shd w:val="clear" w:color="auto" w:fill="FFFFFF"/>
        <w:spacing w:lineRule="auto" w:line="240" w:before="0" w:after="0"/>
        <w:ind w:firstLine="709"/>
        <w:jc w:val="right"/>
        <w:rPr>
          <w:rFonts w:ascii="Times New Roman" w:hAnsi="Times New Roman"/>
          <w:sz w:val="28"/>
          <w:szCs w:val="28"/>
        </w:rPr>
      </w:pPr>
      <w:r>
        <w:rPr>
          <w:rFonts w:ascii="Times New Roman" w:hAnsi="Times New Roman"/>
          <w:sz w:val="28"/>
          <w:szCs w:val="28"/>
        </w:rPr>
      </w:r>
    </w:p>
    <w:tbl>
      <w:tblPr>
        <w:tblW w:w="9498" w:type="dxa"/>
        <w:jc w:val="left"/>
        <w:tblInd w:w="109" w:type="dxa"/>
        <w:tblLayout w:type="fixed"/>
        <w:tblCellMar>
          <w:top w:w="0" w:type="dxa"/>
          <w:left w:w="108" w:type="dxa"/>
          <w:bottom w:w="0" w:type="dxa"/>
          <w:right w:w="108" w:type="dxa"/>
        </w:tblCellMar>
        <w:tblLook w:val="04a0" w:noHBand="0" w:noVBand="1" w:firstColumn="1" w:lastRow="0" w:lastColumn="0" w:firstRow="1"/>
      </w:tblPr>
      <w:tblGrid>
        <w:gridCol w:w="426"/>
        <w:gridCol w:w="3543"/>
        <w:gridCol w:w="708"/>
        <w:gridCol w:w="567"/>
        <w:gridCol w:w="851"/>
        <w:gridCol w:w="850"/>
        <w:gridCol w:w="567"/>
        <w:gridCol w:w="851"/>
        <w:gridCol w:w="1134"/>
      </w:tblGrid>
      <w:tr>
        <w:trPr>
          <w:tblHeader w:val="true"/>
          <w:trHeight w:val="405" w:hRule="atLeast"/>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spacing w:lineRule="auto" w:line="240" w:before="0" w:after="0"/>
              <w:ind w:right="-108" w:hanging="108"/>
              <w:rPr>
                <w:rFonts w:ascii="Times New Roman" w:hAnsi="Times New Roman" w:cs="Times New Roman"/>
                <w:bCs/>
              </w:rPr>
            </w:pPr>
            <w:r>
              <w:rPr>
                <w:rFonts w:cs="Times New Roman" w:ascii="Times New Roman" w:hAnsi="Times New Roman"/>
                <w:bCs/>
              </w:rPr>
              <w:t xml:space="preserve">№ </w:t>
            </w:r>
            <w:r>
              <w:rPr>
                <w:rFonts w:cs="Times New Roman" w:ascii="Times New Roman" w:hAnsi="Times New Roman"/>
                <w:bCs/>
              </w:rPr>
              <w:t>п/п</w:t>
            </w:r>
          </w:p>
        </w:tc>
        <w:tc>
          <w:tcPr>
            <w:tcW w:w="354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firstLine="42"/>
              <w:rPr>
                <w:rFonts w:ascii="Times New Roman" w:hAnsi="Times New Roman" w:cs="Times New Roman"/>
                <w:bCs/>
              </w:rPr>
            </w:pPr>
            <w:r>
              <w:rPr>
                <w:rFonts w:cs="Times New Roman" w:ascii="Times New Roman" w:hAnsi="Times New Roman"/>
                <w:bCs/>
              </w:rPr>
              <w:t>Наименование муниципального района (городского округа)</w:t>
            </w:r>
          </w:p>
        </w:tc>
        <w:tc>
          <w:tcPr>
            <w:tcW w:w="4394" w:type="dxa"/>
            <w:gridSpan w:val="6"/>
            <w:tcBorders>
              <w:top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firstLine="33"/>
              <w:rPr>
                <w:rFonts w:ascii="Times New Roman" w:hAnsi="Times New Roman" w:cs="Times New Roman"/>
                <w:bCs/>
              </w:rPr>
            </w:pPr>
            <w:r>
              <w:rPr>
                <w:rFonts w:cs="Times New Roman" w:ascii="Times New Roman" w:hAnsi="Times New Roman"/>
                <w:bCs/>
              </w:rPr>
              <w:t>Группа видов разрешенного использования</w:t>
            </w:r>
          </w:p>
        </w:tc>
        <w:tc>
          <w:tcPr>
            <w:tcW w:w="113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bCs/>
              </w:rPr>
            </w:pPr>
            <w:r>
              <w:rPr>
                <w:rFonts w:cs="Times New Roman" w:ascii="Times New Roman" w:hAnsi="Times New Roman"/>
                <w:bCs/>
              </w:rPr>
              <w:t>Среднее значение УПКС</w:t>
            </w:r>
          </w:p>
        </w:tc>
      </w:tr>
      <w:tr>
        <w:trPr>
          <w:tblHeader w:val="true"/>
          <w:trHeight w:val="298" w:hRule="atLeast"/>
        </w:trPr>
        <w:tc>
          <w:tcPr>
            <w:tcW w:w="42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ind w:firstLine="709"/>
              <w:rPr>
                <w:rFonts w:ascii="Times New Roman" w:hAnsi="Times New Roman" w:cs="Times New Roman"/>
                <w:bCs/>
              </w:rPr>
            </w:pPr>
            <w:r>
              <w:rPr>
                <w:rFonts w:cs="Times New Roman" w:ascii="Times New Roman" w:hAnsi="Times New Roman"/>
                <w:bCs/>
              </w:rPr>
            </w:r>
          </w:p>
        </w:tc>
        <w:tc>
          <w:tcPr>
            <w:tcW w:w="35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ind w:firstLine="709"/>
              <w:rPr>
                <w:rFonts w:ascii="Times New Roman" w:hAnsi="Times New Roman" w:cs="Times New Roman"/>
                <w:bCs/>
              </w:rPr>
            </w:pPr>
            <w:r>
              <w:rPr>
                <w:rFonts w:cs="Times New Roman" w:ascii="Times New Roman" w:hAnsi="Times New Roman"/>
                <w:bCs/>
              </w:rPr>
            </w:r>
          </w:p>
        </w:tc>
        <w:tc>
          <w:tcPr>
            <w:tcW w:w="708" w:type="dxa"/>
            <w:tcBorders>
              <w:bottom w:val="single" w:sz="4" w:space="0" w:color="000000"/>
              <w:right w:val="single" w:sz="4" w:space="0" w:color="000000"/>
            </w:tcBorders>
            <w:shd w:color="auto" w:fill="auto" w:val="clear"/>
            <w:vAlign w:val="center"/>
          </w:tcPr>
          <w:p>
            <w:pPr>
              <w:pStyle w:val="Normal"/>
              <w:widowControl w:val="false"/>
              <w:shd w:val="clear" w:color="auto" w:fill="FFFFFF"/>
              <w:spacing w:lineRule="auto" w:line="240" w:before="0" w:after="0"/>
              <w:jc w:val="center"/>
              <w:rPr>
                <w:rFonts w:ascii="Times New Roman" w:hAnsi="Times New Roman" w:cs="Times New Roman"/>
                <w:bCs/>
              </w:rPr>
            </w:pPr>
            <w:r>
              <w:rPr>
                <w:rFonts w:cs="Times New Roman" w:ascii="Times New Roman" w:hAnsi="Times New Roman"/>
                <w:bCs/>
              </w:rPr>
              <w:t>1</w:t>
            </w:r>
          </w:p>
        </w:tc>
        <w:tc>
          <w:tcPr>
            <w:tcW w:w="567" w:type="dxa"/>
            <w:tcBorders>
              <w:bottom w:val="single" w:sz="4" w:space="0" w:color="000000"/>
              <w:right w:val="single" w:sz="4" w:space="0" w:color="000000"/>
            </w:tcBorders>
            <w:shd w:color="auto" w:fill="auto" w:val="clear"/>
            <w:vAlign w:val="center"/>
          </w:tcPr>
          <w:p>
            <w:pPr>
              <w:pStyle w:val="Normal"/>
              <w:widowControl w:val="false"/>
              <w:shd w:val="clear" w:color="auto" w:fill="FFFFFF"/>
              <w:spacing w:lineRule="auto" w:line="240" w:before="0" w:after="0"/>
              <w:ind w:right="-391" w:firstLine="34"/>
              <w:rPr>
                <w:rFonts w:ascii="Times New Roman" w:hAnsi="Times New Roman" w:cs="Times New Roman"/>
                <w:bCs/>
              </w:rPr>
            </w:pPr>
            <w:r>
              <w:rPr>
                <w:rFonts w:cs="Times New Roman" w:ascii="Times New Roman" w:hAnsi="Times New Roman"/>
                <w:bCs/>
              </w:rPr>
              <w:t>2</w:t>
            </w:r>
          </w:p>
        </w:tc>
        <w:tc>
          <w:tcPr>
            <w:tcW w:w="851" w:type="dxa"/>
            <w:tcBorders>
              <w:bottom w:val="single" w:sz="4" w:space="0" w:color="000000"/>
              <w:right w:val="single" w:sz="4" w:space="0" w:color="000000"/>
            </w:tcBorders>
            <w:shd w:color="auto" w:fill="auto" w:val="clear"/>
            <w:vAlign w:val="center"/>
          </w:tcPr>
          <w:p>
            <w:pPr>
              <w:pStyle w:val="Normal"/>
              <w:widowControl w:val="false"/>
              <w:shd w:val="clear" w:color="auto" w:fill="FFFFFF"/>
              <w:spacing w:lineRule="auto" w:line="240" w:before="0" w:after="0"/>
              <w:ind w:right="-249" w:firstLine="34"/>
              <w:rPr>
                <w:rFonts w:ascii="Times New Roman" w:hAnsi="Times New Roman" w:cs="Times New Roman"/>
                <w:bCs/>
              </w:rPr>
            </w:pPr>
            <w:r>
              <w:rPr>
                <w:rFonts w:cs="Times New Roman" w:ascii="Times New Roman" w:hAnsi="Times New Roman"/>
                <w:bCs/>
              </w:rPr>
              <w:t>3</w:t>
            </w:r>
          </w:p>
        </w:tc>
        <w:tc>
          <w:tcPr>
            <w:tcW w:w="850" w:type="dxa"/>
            <w:tcBorders>
              <w:bottom w:val="single" w:sz="4" w:space="0" w:color="000000"/>
              <w:right w:val="single" w:sz="4" w:space="0" w:color="000000"/>
            </w:tcBorders>
            <w:shd w:color="auto" w:fill="auto" w:val="clear"/>
            <w:vAlign w:val="center"/>
          </w:tcPr>
          <w:p>
            <w:pPr>
              <w:pStyle w:val="Normal"/>
              <w:widowControl w:val="false"/>
              <w:shd w:val="clear" w:color="auto" w:fill="FFFFFF"/>
              <w:spacing w:lineRule="auto" w:line="240" w:before="0" w:after="0"/>
              <w:ind w:right="-108" w:firstLine="33"/>
              <w:jc w:val="center"/>
              <w:rPr>
                <w:rFonts w:ascii="Times New Roman" w:hAnsi="Times New Roman" w:cs="Times New Roman"/>
                <w:bCs/>
              </w:rPr>
            </w:pPr>
            <w:r>
              <w:rPr>
                <w:rFonts w:cs="Times New Roman" w:ascii="Times New Roman" w:hAnsi="Times New Roman"/>
                <w:bCs/>
              </w:rPr>
              <w:t>4</w:t>
            </w:r>
          </w:p>
        </w:tc>
        <w:tc>
          <w:tcPr>
            <w:tcW w:w="567" w:type="dxa"/>
            <w:tcBorders>
              <w:bottom w:val="single" w:sz="4" w:space="0" w:color="000000"/>
              <w:right w:val="single" w:sz="4" w:space="0" w:color="000000"/>
            </w:tcBorders>
            <w:shd w:color="auto" w:fill="auto" w:val="clear"/>
            <w:vAlign w:val="center"/>
          </w:tcPr>
          <w:p>
            <w:pPr>
              <w:pStyle w:val="Normal"/>
              <w:widowControl w:val="false"/>
              <w:shd w:val="clear" w:color="auto" w:fill="FFFFFF"/>
              <w:spacing w:lineRule="auto" w:line="240" w:before="0" w:after="0"/>
              <w:ind w:right="-392" w:hanging="0"/>
              <w:rPr>
                <w:rFonts w:ascii="Times New Roman" w:hAnsi="Times New Roman" w:cs="Times New Roman"/>
                <w:bCs/>
              </w:rPr>
            </w:pPr>
            <w:r>
              <w:rPr>
                <w:rFonts w:cs="Times New Roman" w:ascii="Times New Roman" w:hAnsi="Times New Roman"/>
                <w:bCs/>
              </w:rPr>
              <w:t>5</w:t>
            </w:r>
          </w:p>
        </w:tc>
        <w:tc>
          <w:tcPr>
            <w:tcW w:w="851" w:type="dxa"/>
            <w:tcBorders>
              <w:bottom w:val="single" w:sz="4" w:space="0" w:color="000000"/>
              <w:right w:val="single" w:sz="4" w:space="0" w:color="000000"/>
            </w:tcBorders>
            <w:shd w:color="auto" w:fill="auto" w:val="clear"/>
            <w:vAlign w:val="center"/>
          </w:tcPr>
          <w:p>
            <w:pPr>
              <w:pStyle w:val="Normal"/>
              <w:widowControl w:val="false"/>
              <w:shd w:val="clear" w:color="auto" w:fill="FFFFFF"/>
              <w:spacing w:lineRule="auto" w:line="240" w:before="0" w:after="0"/>
              <w:ind w:firstLine="34"/>
              <w:jc w:val="center"/>
              <w:rPr>
                <w:rFonts w:ascii="Times New Roman" w:hAnsi="Times New Roman" w:cs="Times New Roman"/>
                <w:bCs/>
              </w:rPr>
            </w:pPr>
            <w:r>
              <w:rPr>
                <w:rFonts w:cs="Times New Roman" w:ascii="Times New Roman" w:hAnsi="Times New Roman"/>
                <w:bCs/>
              </w:rPr>
              <w:t>6</w:t>
            </w:r>
          </w:p>
        </w:tc>
        <w:tc>
          <w:tcPr>
            <w:tcW w:w="113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ind w:firstLine="709"/>
              <w:rPr>
                <w:rFonts w:ascii="Times New Roman" w:hAnsi="Times New Roman" w:cs="Times New Roman"/>
                <w:bCs/>
              </w:rPr>
            </w:pPr>
            <w:r>
              <w:rPr>
                <w:rFonts w:cs="Times New Roman" w:ascii="Times New Roman" w:hAnsi="Times New Roman"/>
                <w:bCs/>
              </w:rPr>
            </w:r>
          </w:p>
        </w:tc>
      </w:tr>
      <w:tr>
        <w:trPr>
          <w:trHeight w:val="81"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1</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Анучинский МР</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534"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left="-108" w:right="-391" w:hanging="0"/>
              <w:rPr>
                <w:rFonts w:ascii="Times New Roman" w:hAnsi="Times New Roman" w:cs="Times New Roman"/>
              </w:rPr>
            </w:pPr>
            <w:r>
              <w:rPr>
                <w:rFonts w:cs="Times New Roman" w:ascii="Times New Roman" w:hAnsi="Times New Roman"/>
              </w:rPr>
              <w:t>80,71</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1"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80,71</w:t>
            </w:r>
          </w:p>
        </w:tc>
      </w:tr>
      <w:tr>
        <w:trPr>
          <w:trHeight w:val="69"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ind w:firstLine="42"/>
              <w:rPr>
                <w:rFonts w:ascii="Times New Roman" w:hAnsi="Times New Roman" w:cs="Times New Roman"/>
              </w:rPr>
            </w:pPr>
            <w:r>
              <w:rPr>
                <w:rFonts w:cs="Times New Roman" w:ascii="Times New Roman" w:hAnsi="Times New Roman"/>
              </w:rPr>
              <w:t>2</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firstLine="42"/>
              <w:rPr>
                <w:rFonts w:ascii="Times New Roman" w:hAnsi="Times New Roman" w:cs="Times New Roman"/>
              </w:rPr>
            </w:pPr>
            <w:r>
              <w:rPr>
                <w:rFonts w:cs="Times New Roman" w:ascii="Times New Roman" w:hAnsi="Times New Roman"/>
              </w:rPr>
              <w:t>Артемовский ГО</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firstLine="34"/>
              <w:rPr>
                <w:rFonts w:ascii="Times New Roman" w:hAnsi="Times New Roman" w:cs="Times New Roman"/>
              </w:rPr>
            </w:pPr>
            <w:r>
              <w:rPr>
                <w:rFonts w:cs="Times New Roman" w:ascii="Times New Roman" w:hAnsi="Times New Roman"/>
              </w:rPr>
              <w:t>-</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1" w:hanging="0"/>
              <w:rPr>
                <w:rFonts w:ascii="Times New Roman" w:hAnsi="Times New Roman" w:cs="Times New Roman"/>
              </w:rPr>
            </w:pPr>
            <w:r>
              <w:rPr>
                <w:rFonts w:cs="Times New Roman" w:ascii="Times New Roman" w:hAnsi="Times New Roman"/>
              </w:rPr>
              <w:t>4,45</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4,45</w:t>
            </w:r>
          </w:p>
        </w:tc>
      </w:tr>
      <w:tr>
        <w:trPr>
          <w:trHeight w:val="345"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ind w:firstLine="42"/>
              <w:rPr>
                <w:rFonts w:ascii="Times New Roman" w:hAnsi="Times New Roman" w:cs="Times New Roman"/>
              </w:rPr>
            </w:pPr>
            <w:r>
              <w:rPr>
                <w:rFonts w:cs="Times New Roman" w:ascii="Times New Roman" w:hAnsi="Times New Roman"/>
              </w:rPr>
              <w:t>3</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firstLine="42"/>
              <w:rPr>
                <w:rFonts w:ascii="Times New Roman" w:hAnsi="Times New Roman" w:cs="Times New Roman"/>
              </w:rPr>
            </w:pPr>
            <w:r>
              <w:rPr>
                <w:rFonts w:cs="Times New Roman" w:ascii="Times New Roman" w:hAnsi="Times New Roman"/>
              </w:rPr>
              <w:t>ГО ЗАТО г. Фокино</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firstLine="34"/>
              <w:rPr>
                <w:rFonts w:ascii="Times New Roman" w:hAnsi="Times New Roman" w:cs="Times New Roman"/>
              </w:rPr>
            </w:pPr>
            <w:r>
              <w:rPr>
                <w:rFonts w:cs="Times New Roman" w:ascii="Times New Roman" w:hAnsi="Times New Roman"/>
              </w:rPr>
              <w:t>75,62</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1"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75,62</w:t>
            </w:r>
          </w:p>
        </w:tc>
      </w:tr>
      <w:tr>
        <w:trPr>
          <w:trHeight w:val="345"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4</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Кировский МР</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firstLine="34"/>
              <w:rPr>
                <w:rFonts w:ascii="Times New Roman" w:hAnsi="Times New Roman" w:cs="Times New Roman"/>
              </w:rPr>
            </w:pPr>
            <w:r>
              <w:rPr>
                <w:rFonts w:cs="Times New Roman" w:ascii="Times New Roman" w:hAnsi="Times New Roman"/>
              </w:rPr>
              <w:t>4,27</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1"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4,27</w:t>
            </w:r>
          </w:p>
        </w:tc>
      </w:tr>
      <w:tr>
        <w:trPr>
          <w:trHeight w:val="345"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5</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Красноармейский МР</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1" w:firstLine="34"/>
              <w:rPr>
                <w:rFonts w:ascii="Times New Roman" w:hAnsi="Times New Roman" w:cs="Times New Roman"/>
              </w:rPr>
            </w:pPr>
            <w:r>
              <w:rPr>
                <w:rFonts w:cs="Times New Roman" w:ascii="Times New Roman" w:hAnsi="Times New Roman"/>
              </w:rPr>
              <w:t>66,49</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1"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66,49</w:t>
            </w:r>
          </w:p>
        </w:tc>
      </w:tr>
      <w:tr>
        <w:trPr>
          <w:trHeight w:val="69"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ind w:firstLine="42"/>
              <w:rPr>
                <w:rFonts w:ascii="Times New Roman" w:hAnsi="Times New Roman" w:cs="Times New Roman"/>
              </w:rPr>
            </w:pPr>
            <w:r>
              <w:rPr>
                <w:rFonts w:cs="Times New Roman" w:ascii="Times New Roman" w:hAnsi="Times New Roman"/>
              </w:rPr>
              <w:t>6</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firstLine="42"/>
              <w:rPr>
                <w:rFonts w:ascii="Times New Roman" w:hAnsi="Times New Roman" w:cs="Times New Roman"/>
              </w:rPr>
            </w:pPr>
            <w:r>
              <w:rPr>
                <w:rFonts w:cs="Times New Roman" w:ascii="Times New Roman" w:hAnsi="Times New Roman"/>
              </w:rPr>
              <w:t>Лесозаводский ГО</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1"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23,09</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23,09</w:t>
            </w:r>
          </w:p>
        </w:tc>
      </w:tr>
      <w:tr>
        <w:trPr>
          <w:trHeight w:val="345"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ind w:firstLine="42"/>
              <w:rPr>
                <w:rFonts w:ascii="Times New Roman" w:hAnsi="Times New Roman" w:cs="Times New Roman"/>
              </w:rPr>
            </w:pPr>
            <w:r>
              <w:rPr>
                <w:rFonts w:cs="Times New Roman" w:ascii="Times New Roman" w:hAnsi="Times New Roman"/>
              </w:rPr>
              <w:t>7</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firstLine="42"/>
              <w:rPr>
                <w:rFonts w:ascii="Times New Roman" w:hAnsi="Times New Roman" w:cs="Times New Roman"/>
              </w:rPr>
            </w:pPr>
            <w:r>
              <w:rPr>
                <w:rFonts w:cs="Times New Roman" w:ascii="Times New Roman" w:hAnsi="Times New Roman"/>
              </w:rPr>
              <w:t>Октябрьский МО</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firstLine="34"/>
              <w:rPr>
                <w:rFonts w:ascii="Times New Roman" w:hAnsi="Times New Roman" w:cs="Times New Roman"/>
              </w:rPr>
            </w:pPr>
            <w:r>
              <w:rPr>
                <w:rFonts w:cs="Times New Roman" w:ascii="Times New Roman" w:hAnsi="Times New Roman"/>
              </w:rPr>
              <w:t>70,17</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1"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70,17</w:t>
            </w:r>
          </w:p>
        </w:tc>
      </w:tr>
      <w:tr>
        <w:trPr>
          <w:trHeight w:val="345"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8</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Ольгинский МР</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1" w:firstLine="34"/>
              <w:rPr>
                <w:rFonts w:ascii="Times New Roman" w:hAnsi="Times New Roman" w:cs="Times New Roman"/>
              </w:rPr>
            </w:pPr>
            <w:r>
              <w:rPr>
                <w:rFonts w:cs="Times New Roman" w:ascii="Times New Roman" w:hAnsi="Times New Roman"/>
              </w:rPr>
              <w:t>68,29</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1"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41,24</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43,11</w:t>
            </w:r>
          </w:p>
        </w:tc>
      </w:tr>
      <w:tr>
        <w:trPr>
          <w:trHeight w:val="345"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9</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Партизанский МР</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77,35</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49"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77,35</w:t>
            </w:r>
          </w:p>
        </w:tc>
      </w:tr>
      <w:tr>
        <w:trPr>
          <w:trHeight w:val="345"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ind w:right="-108" w:hanging="0"/>
              <w:rPr>
                <w:rFonts w:ascii="Times New Roman" w:hAnsi="Times New Roman" w:cs="Times New Roman"/>
              </w:rPr>
            </w:pPr>
            <w:r>
              <w:rPr>
                <w:rFonts w:cs="Times New Roman" w:ascii="Times New Roman" w:hAnsi="Times New Roman"/>
              </w:rPr>
              <w:t>10</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Пожарский  МР</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5,30</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72,58</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49"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71,70</w:t>
            </w:r>
          </w:p>
        </w:tc>
      </w:tr>
      <w:tr>
        <w:trPr>
          <w:trHeight w:val="69"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ind w:right="-108" w:hanging="0"/>
              <w:rPr>
                <w:rFonts w:ascii="Times New Roman" w:hAnsi="Times New Roman" w:cs="Times New Roman"/>
              </w:rPr>
            </w:pPr>
            <w:r>
              <w:rPr>
                <w:rFonts w:cs="Times New Roman" w:ascii="Times New Roman" w:hAnsi="Times New Roman"/>
              </w:rPr>
              <w:t>11</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firstLine="42"/>
              <w:rPr>
                <w:rFonts w:ascii="Times New Roman" w:hAnsi="Times New Roman" w:cs="Times New Roman"/>
              </w:rPr>
            </w:pPr>
            <w:r>
              <w:rPr>
                <w:rFonts w:cs="Times New Roman" w:ascii="Times New Roman" w:hAnsi="Times New Roman"/>
              </w:rPr>
              <w:t>Спасский МР</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80,68</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49" w:firstLine="34"/>
              <w:rPr>
                <w:rFonts w:ascii="Times New Roman" w:hAnsi="Times New Roman" w:cs="Times New Roman"/>
              </w:rPr>
            </w:pPr>
            <w:r>
              <w:rPr>
                <w:rFonts w:cs="Times New Roman" w:ascii="Times New Roman" w:hAnsi="Times New Roman"/>
              </w:rPr>
              <w:t>26,79</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77,56</w:t>
            </w:r>
          </w:p>
        </w:tc>
      </w:tr>
      <w:tr>
        <w:trPr>
          <w:trHeight w:val="345"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ind w:right="-108" w:hanging="0"/>
              <w:rPr>
                <w:rFonts w:ascii="Times New Roman" w:hAnsi="Times New Roman" w:cs="Times New Roman"/>
              </w:rPr>
            </w:pPr>
            <w:r>
              <w:rPr>
                <w:rFonts w:cs="Times New Roman" w:ascii="Times New Roman" w:hAnsi="Times New Roman"/>
              </w:rPr>
              <w:t>12</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firstLine="42"/>
              <w:rPr>
                <w:rFonts w:ascii="Times New Roman" w:hAnsi="Times New Roman" w:cs="Times New Roman"/>
              </w:rPr>
            </w:pPr>
            <w:r>
              <w:rPr>
                <w:rFonts w:cs="Times New Roman" w:ascii="Times New Roman" w:hAnsi="Times New Roman"/>
              </w:rPr>
              <w:t>Ханкайский  МР</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38,02</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49" w:hanging="0"/>
              <w:rPr>
                <w:rFonts w:ascii="Times New Roman" w:hAnsi="Times New Roman" w:cs="Times New Roman"/>
              </w:rPr>
            </w:pPr>
            <w:r>
              <w:rPr>
                <w:rFonts w:cs="Times New Roman" w:ascii="Times New Roman" w:hAnsi="Times New Roman"/>
              </w:rPr>
              <w:t>4,45</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16,41</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33,85</w:t>
            </w:r>
          </w:p>
        </w:tc>
      </w:tr>
      <w:tr>
        <w:trPr>
          <w:trHeight w:val="345"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ind w:right="-108" w:hanging="0"/>
              <w:rPr>
                <w:rFonts w:ascii="Times New Roman" w:hAnsi="Times New Roman" w:cs="Times New Roman"/>
              </w:rPr>
            </w:pPr>
            <w:r>
              <w:rPr>
                <w:rFonts w:cs="Times New Roman" w:ascii="Times New Roman" w:hAnsi="Times New Roman"/>
              </w:rPr>
              <w:t>13</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Хорольский МР</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1" w:firstLine="34"/>
              <w:rPr>
                <w:rFonts w:ascii="Times New Roman" w:hAnsi="Times New Roman" w:cs="Times New Roman"/>
              </w:rPr>
            </w:pPr>
            <w:r>
              <w:rPr>
                <w:rFonts w:cs="Times New Roman" w:ascii="Times New Roman" w:hAnsi="Times New Roman"/>
              </w:rPr>
              <w:t>1,50</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49" w:hanging="0"/>
              <w:rPr>
                <w:rFonts w:ascii="Times New Roman" w:hAnsi="Times New Roman" w:cs="Times New Roman"/>
              </w:rPr>
            </w:pPr>
            <w:r>
              <w:rPr>
                <w:rFonts w:cs="Times New Roman" w:ascii="Times New Roman" w:hAnsi="Times New Roman"/>
              </w:rPr>
              <w:t>14,66</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firstLine="33"/>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7,67</w:t>
            </w:r>
          </w:p>
        </w:tc>
      </w:tr>
      <w:tr>
        <w:trPr>
          <w:trHeight w:val="345"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ind w:right="-108" w:hanging="0"/>
              <w:rPr>
                <w:rFonts w:ascii="Times New Roman" w:hAnsi="Times New Roman" w:cs="Times New Roman"/>
              </w:rPr>
            </w:pPr>
            <w:r>
              <w:rPr>
                <w:rFonts w:cs="Times New Roman" w:ascii="Times New Roman" w:hAnsi="Times New Roman"/>
              </w:rPr>
              <w:t>14</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firstLine="42"/>
              <w:rPr>
                <w:rFonts w:ascii="Times New Roman" w:hAnsi="Times New Roman" w:cs="Times New Roman"/>
              </w:rPr>
            </w:pPr>
            <w:r>
              <w:rPr>
                <w:rFonts w:cs="Times New Roman" w:ascii="Times New Roman" w:hAnsi="Times New Roman"/>
              </w:rPr>
              <w:t>Яковлевский МР</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1" w:firstLine="34"/>
              <w:rPr>
                <w:rFonts w:ascii="Times New Roman" w:hAnsi="Times New Roman" w:cs="Times New Roman"/>
              </w:rPr>
            </w:pPr>
            <w:r>
              <w:rPr>
                <w:rFonts w:cs="Times New Roman" w:ascii="Times New Roman" w:hAnsi="Times New Roman"/>
              </w:rPr>
              <w:t>80,71</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49" w:firstLine="34"/>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firstLine="33"/>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80,71</w:t>
            </w:r>
          </w:p>
        </w:tc>
      </w:tr>
      <w:tr>
        <w:trPr>
          <w:trHeight w:val="69" w:hRule="atLeast"/>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ind w:right="-108" w:hanging="0"/>
              <w:rPr>
                <w:rFonts w:ascii="Times New Roman" w:hAnsi="Times New Roman" w:cs="Times New Roman"/>
              </w:rPr>
            </w:pPr>
            <w:r>
              <w:rPr>
                <w:rFonts w:cs="Times New Roman" w:ascii="Times New Roman" w:hAnsi="Times New Roman"/>
              </w:rPr>
              <w:t>15</w:t>
            </w:r>
          </w:p>
        </w:tc>
        <w:tc>
          <w:tcPr>
            <w:tcW w:w="3543"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firstLine="42"/>
              <w:rPr>
                <w:rFonts w:ascii="Times New Roman" w:hAnsi="Times New Roman" w:cs="Times New Roman"/>
              </w:rPr>
            </w:pPr>
            <w:r>
              <w:rPr>
                <w:rFonts w:cs="Times New Roman" w:ascii="Times New Roman" w:hAnsi="Times New Roman"/>
              </w:rPr>
              <w:t>Уссурийский ГО</w:t>
            </w:r>
          </w:p>
        </w:tc>
        <w:tc>
          <w:tcPr>
            <w:tcW w:w="708"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4,05</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hanging="0"/>
              <w:rPr>
                <w:rFonts w:ascii="Times New Roman" w:hAnsi="Times New Roman" w:cs="Times New Roman"/>
              </w:rPr>
            </w:pPr>
            <w:r>
              <w:rPr>
                <w:rFonts w:cs="Times New Roman" w:ascii="Times New Roman" w:hAnsi="Times New Roman"/>
              </w:rPr>
              <w:t>106,04</w:t>
            </w:r>
          </w:p>
        </w:tc>
        <w:tc>
          <w:tcPr>
            <w:tcW w:w="850"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49" w:firstLine="34"/>
              <w:rPr>
                <w:rFonts w:ascii="Times New Roman" w:hAnsi="Times New Roman" w:cs="Times New Roman"/>
              </w:rPr>
            </w:pPr>
            <w:r>
              <w:rPr>
                <w:rFonts w:cs="Times New Roman" w:ascii="Times New Roman" w:hAnsi="Times New Roman"/>
              </w:rPr>
              <w:t>-</w:t>
            </w:r>
          </w:p>
        </w:tc>
        <w:tc>
          <w:tcPr>
            <w:tcW w:w="567"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ind w:right="-250" w:firstLine="33"/>
              <w:rPr>
                <w:rFonts w:ascii="Times New Roman" w:hAnsi="Times New Roman" w:cs="Times New Roman"/>
              </w:rPr>
            </w:pPr>
            <w:r>
              <w:rPr>
                <w:rFonts w:cs="Times New Roman" w:ascii="Times New Roman" w:hAnsi="Times New Roman"/>
              </w:rPr>
              <w:t>-</w:t>
            </w:r>
          </w:p>
        </w:tc>
        <w:tc>
          <w:tcPr>
            <w:tcW w:w="851"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w:t>
            </w:r>
          </w:p>
        </w:tc>
        <w:tc>
          <w:tcPr>
            <w:tcW w:w="1134" w:type="dxa"/>
            <w:tcBorders>
              <w:bottom w:val="single" w:sz="4" w:space="0" w:color="000000"/>
              <w:right w:val="single" w:sz="4" w:space="0" w:color="000000"/>
            </w:tcBorders>
            <w:shd w:color="auto" w:fill="auto" w:val="clear"/>
          </w:tcPr>
          <w:p>
            <w:pPr>
              <w:pStyle w:val="Normal"/>
              <w:widowControl w:val="false"/>
              <w:shd w:val="clear" w:color="auto" w:fill="FFFFFF"/>
              <w:spacing w:lineRule="auto" w:line="240" w:before="0" w:after="0"/>
              <w:rPr>
                <w:rFonts w:ascii="Times New Roman" w:hAnsi="Times New Roman" w:cs="Times New Roman"/>
              </w:rPr>
            </w:pPr>
            <w:r>
              <w:rPr>
                <w:rFonts w:cs="Times New Roman" w:ascii="Times New Roman" w:hAnsi="Times New Roman"/>
              </w:rPr>
              <w:t>105,93</w:t>
            </w:r>
          </w:p>
        </w:tc>
      </w:tr>
      <w:tr>
        <w:trPr>
          <w:trHeight w:val="69" w:hRule="atLeast"/>
        </w:trPr>
        <w:tc>
          <w:tcPr>
            <w:tcW w:w="396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spacing w:lineRule="auto" w:line="240" w:before="0" w:after="0"/>
              <w:ind w:firstLine="42"/>
              <w:rPr>
                <w:rFonts w:ascii="Times New Roman" w:hAnsi="Times New Roman" w:cs="Times New Roman"/>
                <w:b/>
                <w:b/>
              </w:rPr>
            </w:pPr>
            <w:r>
              <w:rPr>
                <w:rFonts w:cs="Times New Roman" w:ascii="Times New Roman" w:hAnsi="Times New Roman"/>
                <w:b/>
              </w:rPr>
              <w:t>Среднее арифметическое взвешенное по площади значение УПКС по Приморскому краю</w:t>
            </w:r>
          </w:p>
        </w:tc>
        <w:tc>
          <w:tcPr>
            <w:tcW w:w="708" w:type="dxa"/>
            <w:tcBorders>
              <w:top w:val="single" w:sz="4" w:space="0" w:color="000000"/>
              <w:bottom w:val="single" w:sz="4" w:space="0" w:color="000000"/>
              <w:right w:val="single" w:sz="4" w:space="0" w:color="000000"/>
            </w:tcBorders>
            <w:shd w:color="auto" w:fill="auto" w:val="clear"/>
            <w:vAlign w:val="center"/>
          </w:tcPr>
          <w:p>
            <w:pPr>
              <w:pStyle w:val="Normal"/>
              <w:widowControl w:val="false"/>
              <w:shd w:val="clear" w:color="auto" w:fill="FFFFFF"/>
              <w:spacing w:lineRule="auto" w:line="240" w:before="0" w:after="0"/>
              <w:ind w:right="-392" w:hanging="0"/>
              <w:rPr>
                <w:rFonts w:ascii="Times New Roman" w:hAnsi="Times New Roman" w:cs="Times New Roman"/>
              </w:rPr>
            </w:pPr>
            <w:r>
              <w:rPr>
                <w:rFonts w:cs="Times New Roman" w:ascii="Times New Roman" w:hAnsi="Times New Roman"/>
              </w:rPr>
              <w:t>-</w:t>
            </w:r>
          </w:p>
        </w:tc>
        <w:tc>
          <w:tcPr>
            <w:tcW w:w="567" w:type="dxa"/>
            <w:tcBorders>
              <w:top w:val="single" w:sz="4" w:space="0" w:color="000000"/>
              <w:bottom w:val="single" w:sz="4" w:space="0" w:color="000000"/>
              <w:right w:val="single" w:sz="4" w:space="0" w:color="000000"/>
            </w:tcBorders>
            <w:shd w:color="auto" w:fill="auto" w:val="clear"/>
            <w:vAlign w:val="center"/>
          </w:tcPr>
          <w:p>
            <w:pPr>
              <w:pStyle w:val="Normal"/>
              <w:widowControl w:val="false"/>
              <w:shd w:val="clear" w:color="auto" w:fill="FFFFFF"/>
              <w:spacing w:lineRule="auto" w:line="240" w:before="0" w:after="0"/>
              <w:ind w:right="-250" w:hanging="0"/>
              <w:rPr>
                <w:rFonts w:ascii="Times New Roman" w:hAnsi="Times New Roman" w:cs="Times New Roman"/>
                <w:b/>
                <w:b/>
              </w:rPr>
            </w:pPr>
            <w:r>
              <w:rPr>
                <w:rFonts w:cs="Times New Roman" w:ascii="Times New Roman" w:hAnsi="Times New Roman"/>
                <w:b/>
              </w:rPr>
              <w:t>4,63</w:t>
            </w:r>
          </w:p>
        </w:tc>
        <w:tc>
          <w:tcPr>
            <w:tcW w:w="851" w:type="dxa"/>
            <w:tcBorders>
              <w:top w:val="single" w:sz="4" w:space="0" w:color="000000"/>
              <w:bottom w:val="single" w:sz="4" w:space="0" w:color="000000"/>
              <w:right w:val="single" w:sz="4" w:space="0" w:color="000000"/>
            </w:tcBorders>
            <w:shd w:color="auto" w:fill="auto" w:val="clear"/>
            <w:vAlign w:val="center"/>
          </w:tcPr>
          <w:p>
            <w:pPr>
              <w:pStyle w:val="Normal"/>
              <w:widowControl w:val="false"/>
              <w:shd w:val="clear" w:color="auto" w:fill="FFFFFF"/>
              <w:spacing w:lineRule="auto" w:line="240" w:before="0" w:after="0"/>
              <w:ind w:right="-250" w:hanging="0"/>
              <w:rPr>
                <w:rFonts w:ascii="Times New Roman" w:hAnsi="Times New Roman" w:cs="Times New Roman"/>
                <w:b/>
                <w:b/>
              </w:rPr>
            </w:pPr>
            <w:r>
              <w:rPr>
                <w:rFonts w:cs="Times New Roman" w:ascii="Times New Roman" w:hAnsi="Times New Roman"/>
                <w:b/>
              </w:rPr>
              <w:t>57,38</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hd w:val="clear" w:color="auto" w:fill="FFFFFF"/>
              <w:spacing w:lineRule="auto" w:line="240" w:before="0" w:after="0"/>
              <w:ind w:right="-249" w:firstLine="34"/>
              <w:rPr>
                <w:rFonts w:ascii="Times New Roman" w:hAnsi="Times New Roman" w:cs="Times New Roman"/>
                <w:b/>
                <w:b/>
              </w:rPr>
            </w:pPr>
            <w:r>
              <w:rPr>
                <w:rFonts w:cs="Times New Roman" w:ascii="Times New Roman" w:hAnsi="Times New Roman"/>
                <w:b/>
              </w:rPr>
              <w:t>9,73</w:t>
            </w:r>
          </w:p>
        </w:tc>
        <w:tc>
          <w:tcPr>
            <w:tcW w:w="567" w:type="dxa"/>
            <w:tcBorders>
              <w:top w:val="single" w:sz="4" w:space="0" w:color="000000"/>
              <w:bottom w:val="single" w:sz="4" w:space="0" w:color="000000"/>
              <w:right w:val="single" w:sz="4" w:space="0" w:color="000000"/>
            </w:tcBorders>
            <w:shd w:color="auto" w:fill="auto" w:val="clear"/>
            <w:vAlign w:val="center"/>
          </w:tcPr>
          <w:p>
            <w:pPr>
              <w:pStyle w:val="Normal"/>
              <w:widowControl w:val="false"/>
              <w:shd w:val="clear" w:color="auto" w:fill="FFFFFF"/>
              <w:spacing w:lineRule="auto" w:line="240" w:before="0" w:after="0"/>
              <w:ind w:right="-250" w:firstLine="33"/>
              <w:rPr>
                <w:rFonts w:ascii="Times New Roman" w:hAnsi="Times New Roman" w:cs="Times New Roman"/>
                <w:b/>
                <w:b/>
              </w:rPr>
            </w:pPr>
            <w:r>
              <w:rPr>
                <w:rFonts w:cs="Times New Roman" w:ascii="Times New Roman" w:hAnsi="Times New Roman"/>
                <w:b/>
              </w:rPr>
              <w:t>-</w:t>
            </w:r>
          </w:p>
        </w:tc>
        <w:tc>
          <w:tcPr>
            <w:tcW w:w="851" w:type="dxa"/>
            <w:tcBorders>
              <w:top w:val="single" w:sz="4" w:space="0" w:color="000000"/>
              <w:bottom w:val="single" w:sz="4" w:space="0" w:color="000000"/>
              <w:right w:val="single" w:sz="4" w:space="0" w:color="000000"/>
            </w:tcBorders>
            <w:shd w:color="auto" w:fill="auto" w:val="clear"/>
            <w:vAlign w:val="center"/>
          </w:tcPr>
          <w:p>
            <w:pPr>
              <w:pStyle w:val="Normal"/>
              <w:widowControl w:val="false"/>
              <w:shd w:val="clear" w:color="auto" w:fill="FFFFFF"/>
              <w:spacing w:lineRule="auto" w:line="240" w:before="0" w:after="0"/>
              <w:rPr>
                <w:rFonts w:ascii="Times New Roman" w:hAnsi="Times New Roman" w:cs="Times New Roman"/>
                <w:b/>
                <w:b/>
              </w:rPr>
            </w:pPr>
            <w:r>
              <w:rPr>
                <w:rFonts w:cs="Times New Roman" w:ascii="Times New Roman" w:hAnsi="Times New Roman"/>
                <w:b/>
              </w:rPr>
              <w:t>35,87</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widowControl w:val="false"/>
              <w:shd w:val="clear" w:color="auto" w:fill="FFFFFF"/>
              <w:spacing w:lineRule="auto" w:line="240" w:before="0" w:after="0"/>
              <w:rPr>
                <w:rFonts w:ascii="Times New Roman" w:hAnsi="Times New Roman" w:cs="Times New Roman"/>
                <w:b/>
                <w:b/>
              </w:rPr>
            </w:pPr>
            <w:r>
              <w:rPr>
                <w:rFonts w:cs="Times New Roman" w:ascii="Times New Roman" w:hAnsi="Times New Roman"/>
                <w:b/>
              </w:rPr>
              <w:t>52,59</w:t>
            </w:r>
          </w:p>
        </w:tc>
      </w:tr>
    </w:tbl>
    <w:p>
      <w:pPr>
        <w:pStyle w:val="Normal"/>
        <w:shd w:val="clear" w:color="auto" w:fill="FFFFFF"/>
        <w:spacing w:lineRule="auto" w:line="240" w:before="0" w:after="0"/>
        <w:ind w:firstLine="709"/>
        <w:jc w:val="right"/>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t xml:space="preserve">Результаты государственной кадастровой оценки земель водного фонда утверждены постановлением департамента земельных и имущественных отношений Приморского края от 05.07.2016 № 2-П «Об утверждении результатов определения кадастровой стоимости земельных участков в составе земель водного фонда, расположенных на территории Приморского края». </w:t>
      </w:r>
    </w:p>
    <w:p>
      <w:pPr>
        <w:pStyle w:val="Normal"/>
        <w:widowControl w:val="false"/>
        <w:spacing w:lineRule="auto" w:line="240" w:before="0" w:after="0"/>
        <w:contextualSpacing/>
        <w:jc w:val="center"/>
        <w:rPr>
          <w:rFonts w:ascii="Times New Roman" w:hAnsi="Times New Roman" w:eastAsia="" w:cs="Times New Roman" w:eastAsiaTheme="majorEastAsia"/>
          <w:b/>
          <w:b/>
          <w:sz w:val="28"/>
          <w:szCs w:val="28"/>
          <w:lang w:eastAsia="en-US" w:bidi="en-US"/>
        </w:rPr>
      </w:pPr>
      <w:r>
        <w:rPr>
          <w:rFonts w:eastAsia="" w:cs="Times New Roman" w:ascii="Times New Roman" w:hAnsi="Times New Roman" w:eastAsiaTheme="majorEastAsia"/>
          <w:b/>
          <w:sz w:val="28"/>
          <w:szCs w:val="28"/>
          <w:lang w:eastAsia="en-US" w:bidi="en-US"/>
        </w:rPr>
        <w:t xml:space="preserve">3.4.2. </w:t>
      </w:r>
      <w:r>
        <w:rPr>
          <w:rFonts w:eastAsia="" w:cs="" w:ascii="Times New Roman" w:hAnsi="Times New Roman" w:cstheme="majorBidi" w:eastAsiaTheme="majorEastAsia"/>
          <w:b/>
          <w:sz w:val="28"/>
          <w:szCs w:val="28"/>
          <w:lang w:eastAsia="en-US" w:bidi="en-US"/>
        </w:rPr>
        <w:t>Формирование перечней объектов недвижимости (земельных участков), подлежащих государственной кадастровой оценке</w:t>
      </w:r>
    </w:p>
    <w:p>
      <w:pPr>
        <w:pStyle w:val="Normal"/>
        <w:widowControl w:val="false"/>
        <w:spacing w:lineRule="auto" w:line="240" w:before="0" w:after="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В соответствии со ст. 24.13 Закона об оценочной деятельности государственная кадастровая оценка проводится в отношении объектов недвижимости, учтенных в государственном кадастре недвижимости.</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Перечень объектов недвижимости, подлежащих государственной кадастровой оценке, формируется и предоставляется заказчику работ по его запросу органом, осуществляющим функции по государственной кадастровой оценке, в порядке и в соответствии с требованиями к содержанию запроса.</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 xml:space="preserve">В целях проведения в 2016 году работ по государственной кадастровой оценке земель промышленности и иного специального назначения, земель особо охраняемых территорий и объектов, земель водного фонда, в орган кадастрового учета поступило три запроса о формировании перечней, подлежащих государственной кадастровой оценке земельных участков. </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Перечень земельных участков был сформирован филиалом ФГБУ «ФКП Росреестра» по Приморскому краю, в течение 5 рабочих дней по каждому запросу, в соответствии со сроками, установленными приказом Минэкономразвития России от 01.11.2013 № 648 «Об утверждении Порядка формирования и предоставления перечня объектов недвижимости, подлежащих государственной кадастровой оценке» и передан заказчику работ – департаменту земельных и имущественных отношений Приморского края.</w:t>
      </w:r>
    </w:p>
    <w:p>
      <w:pPr>
        <w:pStyle w:val="Normal"/>
        <w:widowControl w:val="false"/>
        <w:spacing w:lineRule="auto" w:line="240" w:before="0" w:after="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widowControl w:val="false"/>
        <w:spacing w:lineRule="auto" w:line="240" w:before="0" w:after="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widowControl w:val="false"/>
        <w:spacing w:lineRule="auto" w:line="240" w:before="0" w:after="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widowControl w:val="false"/>
        <w:spacing w:lineRule="auto" w:line="240" w:before="0" w:after="0"/>
        <w:contextualSpacing/>
        <w:jc w:val="center"/>
        <w:rPr>
          <w:rFonts w:ascii="Times New Roman" w:hAnsi="Times New Roman" w:eastAsia="" w:cs="Times New Roman" w:eastAsiaTheme="majorEastAsia"/>
          <w:b/>
          <w:b/>
          <w:sz w:val="28"/>
          <w:szCs w:val="28"/>
          <w:lang w:eastAsia="en-US" w:bidi="en-US"/>
        </w:rPr>
      </w:pPr>
      <w:r>
        <w:rPr>
          <w:rFonts w:eastAsia="" w:cs="Times New Roman" w:ascii="Times New Roman" w:hAnsi="Times New Roman" w:eastAsiaTheme="majorEastAsia"/>
          <w:b/>
          <w:sz w:val="28"/>
          <w:szCs w:val="28"/>
          <w:lang w:eastAsia="en-US" w:bidi="en-US"/>
        </w:rPr>
        <w:t>3.4.3. Определение кадастровой стоимости вновь учтенных земельных участков, ранее учтенных земельных участков при включении сведений о них в сударственный кадастр недвижимости и земельных участков, в отношении которых произошло изменение их количественных и (или) качественных характеристик, влекущее за собой изменение их кадастровой стоимости</w:t>
      </w:r>
    </w:p>
    <w:p>
      <w:pPr>
        <w:pStyle w:val="Normal"/>
        <w:widowControl w:val="false"/>
        <w:spacing w:lineRule="auto" w:line="240" w:before="0" w:after="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Определение кадастровой стоимости вновь образуемых земельных участков, прошедших государственный кадастровый учет, а также земельных участков, в отношении которых прошли государственный кадастровый учет указанные текущие изменения, в 2016 году осуществлялось органом кадастрового учета – филиалом ФГБУ «ФКП Росреестра» по Приморскому краю, на основе утвержденных результатов государственной кадастровой оценки земель и в соответствии с «Методическими указаниями по определению кадастровой стоимости вновь образуемых земельных участков и существующих земельных участков в случаях изменения категории земель, вида разрешенного использования или уточнения площади земельного участка», утвержденными приказом Минэкономразвития России от              12 августа 2006 № 222.</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Методические указания применяются для определения кадастровой стоимости земельных участков в случаях:</w:t>
      </w:r>
    </w:p>
    <w:p>
      <w:pPr>
        <w:pStyle w:val="Normal"/>
        <w:shd w:val="clear" w:color="auto" w:fill="FFFFFF"/>
        <w:spacing w:lineRule="auto" w:line="240" w:before="0" w:after="0"/>
        <w:ind w:right="5" w:firstLine="567"/>
        <w:jc w:val="both"/>
        <w:rPr>
          <w:rFonts w:ascii="Times New Roman" w:hAnsi="Times New Roman"/>
          <w:sz w:val="28"/>
          <w:szCs w:val="28"/>
        </w:rPr>
      </w:pPr>
      <w:r>
        <w:rPr>
          <w:rFonts w:ascii="Times New Roman" w:hAnsi="Times New Roman"/>
          <w:sz w:val="28"/>
          <w:szCs w:val="28"/>
        </w:rPr>
        <w:t>- образования нового земельного участка;</w:t>
      </w:r>
    </w:p>
    <w:p>
      <w:pPr>
        <w:pStyle w:val="Normal"/>
        <w:shd w:val="clear" w:color="auto" w:fill="FFFFFF"/>
        <w:spacing w:lineRule="auto" w:line="240" w:before="0" w:after="0"/>
        <w:ind w:right="5" w:firstLine="567"/>
        <w:jc w:val="both"/>
        <w:rPr>
          <w:rFonts w:ascii="Times New Roman" w:hAnsi="Times New Roman"/>
          <w:sz w:val="28"/>
          <w:szCs w:val="28"/>
        </w:rPr>
      </w:pPr>
      <w:r>
        <w:rPr>
          <w:rFonts w:ascii="Times New Roman" w:hAnsi="Times New Roman"/>
          <w:sz w:val="28"/>
          <w:szCs w:val="28"/>
        </w:rPr>
        <w:t>- изменения площади земельного участка при упорядочении его границы;</w:t>
      </w:r>
    </w:p>
    <w:p>
      <w:pPr>
        <w:pStyle w:val="Normal"/>
        <w:shd w:val="clear" w:color="auto" w:fill="FFFFFF"/>
        <w:spacing w:lineRule="auto" w:line="240" w:before="0" w:after="0"/>
        <w:ind w:right="5" w:firstLine="567"/>
        <w:jc w:val="both"/>
        <w:rPr>
          <w:rFonts w:ascii="Times New Roman" w:hAnsi="Times New Roman"/>
          <w:sz w:val="28"/>
          <w:szCs w:val="28"/>
        </w:rPr>
      </w:pPr>
      <w:r>
        <w:rPr>
          <w:rFonts w:ascii="Times New Roman" w:hAnsi="Times New Roman"/>
          <w:sz w:val="28"/>
          <w:szCs w:val="28"/>
        </w:rPr>
        <w:t>- изменения вида разрешенного использования земельного участка;</w:t>
      </w:r>
    </w:p>
    <w:p>
      <w:pPr>
        <w:pStyle w:val="Normal"/>
        <w:shd w:val="clear" w:color="auto" w:fill="FFFFFF"/>
        <w:spacing w:lineRule="auto" w:line="240" w:before="0" w:after="0"/>
        <w:ind w:right="5" w:firstLine="567"/>
        <w:jc w:val="both"/>
        <w:rPr>
          <w:rFonts w:ascii="Times New Roman" w:hAnsi="Times New Roman"/>
          <w:sz w:val="28"/>
          <w:szCs w:val="28"/>
        </w:rPr>
      </w:pPr>
      <w:r>
        <w:rPr>
          <w:rFonts w:ascii="Times New Roman" w:hAnsi="Times New Roman"/>
          <w:sz w:val="28"/>
          <w:szCs w:val="28"/>
        </w:rPr>
        <w:t>- перевода земельного участка из одной категории в другую или отнесения земельного участка к определенной категории земель;</w:t>
      </w:r>
    </w:p>
    <w:p>
      <w:pPr>
        <w:pStyle w:val="Normal"/>
        <w:shd w:val="clear" w:color="auto" w:fill="FFFFFF"/>
        <w:spacing w:lineRule="auto" w:line="240" w:before="0" w:after="0"/>
        <w:ind w:right="5" w:firstLine="567"/>
        <w:jc w:val="both"/>
        <w:rPr>
          <w:rFonts w:ascii="Times New Roman" w:hAnsi="Times New Roman"/>
          <w:sz w:val="28"/>
          <w:szCs w:val="28"/>
        </w:rPr>
      </w:pPr>
      <w:r>
        <w:rPr>
          <w:rFonts w:ascii="Times New Roman" w:hAnsi="Times New Roman"/>
          <w:sz w:val="28"/>
          <w:szCs w:val="28"/>
        </w:rPr>
        <w:t>- выявления ранее учтенных земельных участков.</w:t>
      </w:r>
    </w:p>
    <w:p>
      <w:pPr>
        <w:pStyle w:val="Normal"/>
        <w:shd w:val="clear" w:color="auto" w:fill="FFFFFF"/>
        <w:spacing w:lineRule="auto" w:line="240" w:before="0" w:after="0"/>
        <w:ind w:right="5" w:firstLine="567"/>
        <w:jc w:val="both"/>
        <w:rPr>
          <w:rFonts w:ascii="Times New Roman" w:hAnsi="Times New Roman"/>
          <w:sz w:val="28"/>
          <w:szCs w:val="28"/>
        </w:rPr>
      </w:pPr>
      <w:r>
        <w:rPr>
          <w:rFonts w:ascii="Times New Roman" w:hAnsi="Times New Roman"/>
          <w:sz w:val="28"/>
          <w:szCs w:val="28"/>
        </w:rPr>
        <w:t>Минимальные и средние значения удельных показателей кадастровой стоимости земель в разрезе категорий земель и видов функционального использования (кроме земель населенных пунктов) по Приморскому краю приведены в таблице приложения 19.</w:t>
      </w:r>
    </w:p>
    <w:p>
      <w:pPr>
        <w:pStyle w:val="Normal"/>
        <w:shd w:val="clear" w:color="auto" w:fill="FFFFFF"/>
        <w:spacing w:lineRule="auto" w:line="240" w:before="0" w:after="0"/>
        <w:ind w:right="5" w:firstLine="709"/>
        <w:jc w:val="both"/>
        <w:rPr>
          <w:rFonts w:ascii="Times New Roman" w:hAnsi="Times New Roman"/>
          <w:sz w:val="28"/>
          <w:szCs w:val="28"/>
        </w:rPr>
      </w:pPr>
      <w:r>
        <w:rPr>
          <w:rFonts w:ascii="Times New Roman" w:hAnsi="Times New Roman"/>
          <w:sz w:val="28"/>
          <w:szCs w:val="28"/>
        </w:rPr>
        <w:t>Информация о количестве земельных участков, прошедших государственный кадастровый учет в 2016 году в разрезе категорий и видов разрешенного использования, для которых определена кадастровая стоимость, приведена в таблице приложения 20.</w:t>
      </w:r>
    </w:p>
    <w:p>
      <w:pPr>
        <w:pStyle w:val="Normal"/>
        <w:shd w:val="clear" w:color="auto" w:fill="FFFFFF"/>
        <w:spacing w:lineRule="auto" w:line="240" w:before="0" w:after="0"/>
        <w:ind w:right="5" w:firstLine="638"/>
        <w:jc w:val="both"/>
        <w:rPr>
          <w:rFonts w:ascii="Times New Roman" w:hAnsi="Times New Roman" w:cs="Times New Roman"/>
          <w:smallCaps/>
          <w:sz w:val="28"/>
          <w:szCs w:val="28"/>
        </w:rPr>
      </w:pPr>
      <w:r>
        <w:rPr>
          <w:rFonts w:cs="Times New Roman" w:ascii="Times New Roman" w:hAnsi="Times New Roman"/>
          <w:smallCaps/>
          <w:sz w:val="28"/>
          <w:szCs w:val="28"/>
        </w:rPr>
      </w:r>
    </w:p>
    <w:p>
      <w:pPr>
        <w:pStyle w:val="Normal"/>
        <w:shd w:val="clear" w:color="auto" w:fill="FFFFFF"/>
        <w:spacing w:lineRule="auto" w:line="240" w:before="0" w:after="0"/>
        <w:ind w:right="5" w:firstLine="638"/>
        <w:jc w:val="both"/>
        <w:rPr>
          <w:rFonts w:ascii="Times New Roman" w:hAnsi="Times New Roman" w:cs="Times New Roman"/>
          <w:smallCaps/>
          <w:sz w:val="28"/>
          <w:szCs w:val="28"/>
        </w:rPr>
      </w:pPr>
      <w:r>
        <w:rPr>
          <w:rFonts w:cs="Times New Roman" w:ascii="Times New Roman" w:hAnsi="Times New Roman"/>
          <w:smallCaps/>
          <w:sz w:val="28"/>
          <w:szCs w:val="28"/>
        </w:rPr>
      </w:r>
    </w:p>
    <w:p>
      <w:pPr>
        <w:pStyle w:val="Normal"/>
        <w:shd w:val="clear" w:color="auto" w:fill="FFFFFF"/>
        <w:spacing w:lineRule="auto" w:line="240" w:before="0" w:after="0"/>
        <w:ind w:right="5" w:firstLine="638"/>
        <w:jc w:val="both"/>
        <w:rPr>
          <w:rFonts w:ascii="Times New Roman" w:hAnsi="Times New Roman" w:cs="Times New Roman"/>
          <w:smallCaps/>
          <w:sz w:val="28"/>
          <w:szCs w:val="28"/>
        </w:rPr>
      </w:pPr>
      <w:r>
        <w:rPr>
          <w:rFonts w:cs="Times New Roman" w:ascii="Times New Roman" w:hAnsi="Times New Roman"/>
          <w:smallCaps/>
          <w:sz w:val="28"/>
          <w:szCs w:val="28"/>
        </w:rPr>
      </w:r>
    </w:p>
    <w:p>
      <w:pPr>
        <w:pStyle w:val="Normal"/>
        <w:shd w:val="clear" w:color="auto" w:fill="FFFFFF"/>
        <w:spacing w:lineRule="auto" w:line="240" w:before="0" w:after="0"/>
        <w:ind w:right="5" w:firstLine="638"/>
        <w:jc w:val="both"/>
        <w:rPr>
          <w:rFonts w:ascii="Times New Roman" w:hAnsi="Times New Roman" w:cs="Times New Roman"/>
          <w:smallCaps/>
          <w:sz w:val="28"/>
          <w:szCs w:val="28"/>
        </w:rPr>
      </w:pPr>
      <w:r>
        <w:rPr>
          <w:rFonts w:cs="Times New Roman" w:ascii="Times New Roman" w:hAnsi="Times New Roman"/>
          <w:smallCaps/>
          <w:sz w:val="28"/>
          <w:szCs w:val="28"/>
        </w:rPr>
      </w:r>
    </w:p>
    <w:p>
      <w:pPr>
        <w:pStyle w:val="Normal"/>
        <w:shd w:val="clear" w:color="auto" w:fill="FFFFFF"/>
        <w:spacing w:lineRule="auto" w:line="240" w:before="0" w:after="0"/>
        <w:ind w:right="5" w:firstLine="638"/>
        <w:jc w:val="both"/>
        <w:rPr>
          <w:rFonts w:ascii="Times New Roman" w:hAnsi="Times New Roman" w:cs="Times New Roman"/>
          <w:smallCaps/>
          <w:sz w:val="28"/>
          <w:szCs w:val="28"/>
        </w:rPr>
      </w:pPr>
      <w:r>
        <w:rPr>
          <w:rFonts w:cs="Times New Roman" w:ascii="Times New Roman" w:hAnsi="Times New Roman"/>
          <w:smallCaps/>
          <w:sz w:val="28"/>
          <w:szCs w:val="28"/>
        </w:rPr>
      </w:r>
    </w:p>
    <w:p>
      <w:pPr>
        <w:pStyle w:val="Normal"/>
        <w:shd w:val="clear" w:color="auto" w:fill="FFFFFF"/>
        <w:spacing w:lineRule="auto" w:line="240" w:before="0" w:after="0"/>
        <w:ind w:right="5" w:firstLine="638"/>
        <w:jc w:val="both"/>
        <w:rPr>
          <w:rFonts w:ascii="Times New Roman" w:hAnsi="Times New Roman" w:cs="Times New Roman"/>
          <w:smallCaps/>
          <w:sz w:val="28"/>
          <w:szCs w:val="28"/>
        </w:rPr>
      </w:pPr>
      <w:r>
        <w:rPr>
          <w:rFonts w:cs="Times New Roman" w:ascii="Times New Roman" w:hAnsi="Times New Roman"/>
          <w:smallCaps/>
          <w:sz w:val="28"/>
          <w:szCs w:val="28"/>
        </w:rPr>
      </w:r>
    </w:p>
    <w:p>
      <w:pPr>
        <w:pStyle w:val="Normal"/>
        <w:shd w:val="clear" w:color="auto" w:fill="FFFFFF"/>
        <w:spacing w:lineRule="auto" w:line="240" w:before="0" w:after="0"/>
        <w:ind w:right="5" w:firstLine="638"/>
        <w:jc w:val="both"/>
        <w:rPr>
          <w:rFonts w:ascii="Times New Roman" w:hAnsi="Times New Roman" w:cs="Times New Roman"/>
          <w:smallCaps/>
          <w:sz w:val="28"/>
          <w:szCs w:val="28"/>
        </w:rPr>
      </w:pPr>
      <w:r>
        <w:rPr>
          <w:rFonts w:cs="Times New Roman" w:ascii="Times New Roman" w:hAnsi="Times New Roman"/>
          <w:smallCaps/>
          <w:sz w:val="28"/>
          <w:szCs w:val="28"/>
        </w:rPr>
      </w:r>
    </w:p>
    <w:p>
      <w:pPr>
        <w:pStyle w:val="Normal"/>
        <w:shd w:val="clear" w:color="auto" w:fill="FFFFFF"/>
        <w:spacing w:lineRule="auto" w:line="240" w:before="0" w:after="0"/>
        <w:ind w:right="5" w:firstLine="638"/>
        <w:jc w:val="both"/>
        <w:rPr>
          <w:rFonts w:ascii="Times New Roman" w:hAnsi="Times New Roman" w:cs="Times New Roman"/>
          <w:smallCaps/>
          <w:sz w:val="28"/>
          <w:szCs w:val="28"/>
        </w:rPr>
      </w:pPr>
      <w:r>
        <w:rPr>
          <w:rFonts w:cs="Times New Roman" w:ascii="Times New Roman" w:hAnsi="Times New Roman"/>
          <w:smallCaps/>
          <w:sz w:val="28"/>
          <w:szCs w:val="28"/>
        </w:rPr>
      </w:r>
    </w:p>
    <w:p>
      <w:pPr>
        <w:pStyle w:val="Normal"/>
        <w:widowControl w:val="false"/>
        <w:spacing w:lineRule="auto" w:line="240" w:before="0" w:after="0"/>
        <w:contextualSpacing/>
        <w:jc w:val="center"/>
        <w:rPr>
          <w:rFonts w:ascii="Times New Roman" w:hAnsi="Times New Roman" w:eastAsia="" w:cs="" w:cstheme="majorBidi" w:eastAsiaTheme="majorEastAsia"/>
          <w:b/>
          <w:b/>
          <w:sz w:val="28"/>
          <w:szCs w:val="28"/>
          <w:lang w:eastAsia="en-US" w:bidi="en-US"/>
        </w:rPr>
      </w:pPr>
      <w:r>
        <w:rPr>
          <w:rFonts w:eastAsia="" w:cs="Times New Roman" w:ascii="Times New Roman" w:hAnsi="Times New Roman" w:eastAsiaTheme="majorEastAsia"/>
          <w:b/>
          <w:sz w:val="28"/>
          <w:szCs w:val="28"/>
          <w:lang w:eastAsia="en-US" w:bidi="en-US"/>
        </w:rPr>
        <w:t xml:space="preserve">3.4.4. </w:t>
      </w:r>
      <w:r>
        <w:rPr>
          <w:rFonts w:eastAsia="" w:cs="" w:ascii="Times New Roman CYR" w:hAnsi="Times New Roman CYR" w:cstheme="majorBidi" w:eastAsiaTheme="majorEastAsia"/>
          <w:b/>
          <w:bCs/>
          <w:sz w:val="28"/>
          <w:szCs w:val="28"/>
          <w:lang w:eastAsia="en-US" w:bidi="en-US"/>
        </w:rPr>
        <w:t>Оспаривание результатов определения кадастровой стоимости земельных участков в досудебном порядке</w:t>
      </w:r>
    </w:p>
    <w:p>
      <w:pPr>
        <w:pStyle w:val="Normal"/>
        <w:widowControl w:val="false"/>
        <w:spacing w:lineRule="auto" w:line="240" w:before="0" w:after="0"/>
        <w:contextualSpacing/>
        <w:jc w:val="center"/>
        <w:rPr>
          <w:rFonts w:ascii="Times New Roman" w:hAnsi="Times New Roman" w:eastAsia="" w:cs="Times New Roman" w:eastAsiaTheme="majorEastAsia"/>
          <w:sz w:val="28"/>
          <w:szCs w:val="28"/>
          <w:lang w:eastAsia="en-US" w:bidi="en-US"/>
        </w:rPr>
      </w:pPr>
      <w:r>
        <w:rPr>
          <w:rFonts w:eastAsia="" w:cs="Times New Roman" w:eastAsiaTheme="majorEastAsia" w:ascii="Times New Roman" w:hAnsi="Times New Roman"/>
          <w:sz w:val="28"/>
          <w:szCs w:val="28"/>
          <w:lang w:eastAsia="en-US" w:bidi="en-US"/>
        </w:rPr>
      </w:r>
      <w:bookmarkStart w:id="549" w:name="_Toc34212873"/>
      <w:bookmarkStart w:id="550" w:name="_Toc34558253"/>
      <w:bookmarkStart w:id="551" w:name="_Toc34559051"/>
      <w:bookmarkStart w:id="552" w:name="_Toc34559227"/>
      <w:bookmarkStart w:id="553" w:name="_Toc34560070"/>
      <w:bookmarkStart w:id="554" w:name="_Toc34560117"/>
      <w:bookmarkStart w:id="555" w:name="_Toc34560207"/>
      <w:bookmarkStart w:id="556" w:name="_Toc95718789"/>
      <w:bookmarkStart w:id="557" w:name="_Toc96823438"/>
      <w:bookmarkStart w:id="558" w:name="_Toc97106192"/>
      <w:bookmarkStart w:id="559" w:name="_Toc130628095"/>
      <w:bookmarkStart w:id="560" w:name="_Toc256850193"/>
      <w:bookmarkStart w:id="561" w:name="_Toc34212873"/>
      <w:bookmarkStart w:id="562" w:name="_Toc34558253"/>
      <w:bookmarkStart w:id="563" w:name="_Toc34559051"/>
      <w:bookmarkStart w:id="564" w:name="_Toc34559227"/>
      <w:bookmarkStart w:id="565" w:name="_Toc34560070"/>
      <w:bookmarkStart w:id="566" w:name="_Toc34560117"/>
      <w:bookmarkStart w:id="567" w:name="_Toc34560207"/>
      <w:bookmarkStart w:id="568" w:name="_Toc95718789"/>
      <w:bookmarkStart w:id="569" w:name="_Toc96823438"/>
      <w:bookmarkStart w:id="570" w:name="_Toc97106192"/>
      <w:bookmarkStart w:id="571" w:name="_Toc130628095"/>
      <w:bookmarkStart w:id="572" w:name="_Toc256850193"/>
      <w:bookmarkEnd w:id="561"/>
      <w:bookmarkEnd w:id="562"/>
      <w:bookmarkEnd w:id="563"/>
      <w:bookmarkEnd w:id="564"/>
      <w:bookmarkEnd w:id="565"/>
      <w:bookmarkEnd w:id="566"/>
      <w:bookmarkEnd w:id="567"/>
      <w:bookmarkEnd w:id="568"/>
      <w:bookmarkEnd w:id="569"/>
      <w:bookmarkEnd w:id="570"/>
      <w:bookmarkEnd w:id="571"/>
      <w:bookmarkEnd w:id="572"/>
    </w:p>
    <w:p>
      <w:pPr>
        <w:pStyle w:val="Normal"/>
        <w:shd w:val="clear" w:color="auto" w:fill="FFFFFF"/>
        <w:spacing w:lineRule="auto" w:line="240" w:before="0" w:after="0"/>
        <w:ind w:firstLine="709"/>
        <w:jc w:val="both"/>
        <w:rPr>
          <w:rFonts w:ascii="Times New Roman" w:hAnsi="Times New Roman"/>
          <w:sz w:val="28"/>
          <w:szCs w:val="28"/>
        </w:rPr>
      </w:pPr>
      <w:r>
        <w:rPr>
          <w:rFonts w:ascii="Times New Roman" w:hAnsi="Times New Roman"/>
          <w:sz w:val="28"/>
          <w:szCs w:val="28"/>
        </w:rPr>
        <w:t>Порядок рассмотрения споров о результатах определения кадастровой стоимости определен ст. 24.18 Закона об оценочной деятельности.</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В соответствии с данной статьей результаты определения кадастровой стоимости могут быть оспорены физическими, юридическими лицами в случае, если результаты определения кадастровой стоимости затрагивают права и обязанности этих лиц, а также органами государственной власти, органами местного самоуправления в отношении объектов недвижимости, находящихся в государственной или муниципальной собственности, в суде и(или) комиссии по рассмотрению споров о результатах определения кадастровой стоимости.</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В случае оспаривания результатов определения кадастровой стоимости рыночная стоимость объекта недвижимости должна быть установлена на дату, по состоянию на которую установлена его кадастровая стоимость.</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Постоянно действующая Комиссия по рассмотрению споров о результатах определения кадастровой стоимости (далее – Комиссия) создана на территории Приморского края приказом Федеральной службы государственной регистрации, кадастра и картографии от 26.10.2012 № 486 «О создании комиссии по рассмотрению споров о результатах определения кадастровой стоимости при Управлении Росреестра по Приморскому краю».</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Для оспаривания результатов определения кадастровой стоимости заинтересованные лица обращаются в Комиссию с заявлением о пересмотре результатов определения кадастровой стоимости.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В целях соблюдения досудебного порядка рассмотрения споров о результатах определения кадастровой стоимости в 2016 году с заявлениями в Комиссию обращались физические и юридические лица, а также органы местного самоуправления. В 2016 году Комиссия рассматривала споры в отношении земельных участков и объектов капитального строительства. В отчетном году в Комиссию поступило 588 заявлений в отношении земельных участков и объектов капитального строительства.</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Основаниями подачи заявлений в 2016 году являлись:</w:t>
      </w:r>
    </w:p>
    <w:p>
      <w:pPr>
        <w:pStyle w:val="Normal"/>
        <w:spacing w:lineRule="auto" w:line="240" w:before="0" w:after="0"/>
        <w:ind w:firstLine="567"/>
        <w:jc w:val="both"/>
        <w:rPr>
          <w:rFonts w:ascii="Times New Roman" w:hAnsi="Times New Roman" w:cs="Times New Roman"/>
          <w:sz w:val="28"/>
          <w:szCs w:val="28"/>
        </w:rPr>
      </w:pPr>
      <w:r>
        <w:rPr>
          <w:rFonts w:ascii="Times New Roman" w:hAnsi="Times New Roman"/>
          <w:sz w:val="28"/>
          <w:szCs w:val="28"/>
        </w:rPr>
        <w:t xml:space="preserve">- </w:t>
      </w:r>
      <w:hyperlink r:id="rId114">
        <w:r>
          <w:rPr>
            <w:rFonts w:ascii="Times New Roman" w:hAnsi="Times New Roman"/>
            <w:sz w:val="28"/>
            <w:szCs w:val="28"/>
          </w:rPr>
          <w:t>недостоверность</w:t>
        </w:r>
      </w:hyperlink>
      <w:r>
        <w:rPr>
          <w:rFonts w:ascii="Times New Roman" w:hAnsi="Times New Roman"/>
          <w:sz w:val="28"/>
          <w:szCs w:val="28"/>
        </w:rPr>
        <w:t xml:space="preserve"> сведений об объекте недвижимости, использованных</w:t>
      </w:r>
      <w:r>
        <w:rPr>
          <w:rFonts w:cs="Times New Roman" w:ascii="Times New Roman" w:hAnsi="Times New Roman"/>
          <w:sz w:val="28"/>
          <w:szCs w:val="28"/>
        </w:rPr>
        <w:t xml:space="preserve"> при определении его кадастровой стоимости;</w:t>
      </w:r>
    </w:p>
    <w:p>
      <w:pPr>
        <w:pStyle w:val="Normal"/>
        <w:spacing w:lineRule="auto" w:line="240" w:before="0" w:after="0"/>
        <w:ind w:firstLine="567"/>
        <w:jc w:val="both"/>
        <w:rPr>
          <w:rFonts w:ascii="Times New Roman" w:hAnsi="Times New Roman" w:cs="Times New Roman"/>
          <w:sz w:val="28"/>
          <w:szCs w:val="28"/>
        </w:rPr>
      </w:pPr>
      <w:r>
        <w:rPr>
          <w:rFonts w:cs="Times New Roman" w:ascii="Times New Roman" w:hAnsi="Times New Roman"/>
          <w:sz w:val="28"/>
          <w:szCs w:val="28"/>
        </w:rPr>
        <w:t>- установление в отношении объекта недвижимости его рыночной стоимости на дату, по состоянию на которую установлена его кадастровая стоимость.</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В 2016 году по основанию недостоверности сведений об объекте недвижимости, использованных при определении кадастровой стоимости, было рассмотрено 37 заявлений по 43 объектам недвижимости.</w:t>
      </w:r>
    </w:p>
    <w:p>
      <w:pPr>
        <w:pStyle w:val="Normal"/>
        <w:spacing w:lineRule="auto" w:line="240" w:before="0" w:after="0"/>
        <w:ind w:firstLine="567"/>
        <w:jc w:val="both"/>
        <w:rPr>
          <w:rFonts w:ascii="Times New Roman" w:hAnsi="Times New Roman"/>
          <w:sz w:val="28"/>
          <w:szCs w:val="28"/>
        </w:rPr>
      </w:pPr>
      <w:r>
        <w:rPr>
          <w:rFonts w:ascii="Times New Roman" w:hAnsi="Times New Roman"/>
          <w:sz w:val="28"/>
          <w:szCs w:val="28"/>
        </w:rPr>
        <w:t>По основанию установления в отношении объекта недвижимости его рыночной стоимости на дату, по состоянию на которую установлена его кадастровая стоимость, было рассмотрено 510 заявлений в отношении 631 объекта.</w:t>
      </w:r>
    </w:p>
    <w:p>
      <w:pPr>
        <w:pStyle w:val="Normal"/>
        <w:spacing w:lineRule="auto" w:line="240" w:before="0" w:after="0"/>
        <w:ind w:firstLine="567"/>
        <w:contextualSpacing/>
        <w:jc w:val="both"/>
        <w:rPr>
          <w:rFonts w:ascii="Times New Roman" w:hAnsi="Times New Roman"/>
          <w:sz w:val="28"/>
          <w:szCs w:val="28"/>
        </w:rPr>
      </w:pPr>
      <w:r>
        <w:rPr>
          <w:rFonts w:ascii="Times New Roman" w:hAnsi="Times New Roman"/>
          <w:sz w:val="28"/>
          <w:szCs w:val="28"/>
        </w:rPr>
        <w:t>9 заявлений было отозвано заявителями, 36 заявлений не принято к рассмотрению.</w:t>
      </w:r>
    </w:p>
    <w:p>
      <w:pPr>
        <w:pStyle w:val="Normal"/>
        <w:spacing w:lineRule="auto" w:line="240" w:before="0" w:after="200"/>
        <w:ind w:firstLine="426"/>
        <w:contextualSpacing/>
        <w:jc w:val="both"/>
        <w:rPr>
          <w:rFonts w:ascii="Times New Roman" w:hAnsi="Times New Roman"/>
          <w:sz w:val="28"/>
          <w:szCs w:val="28"/>
        </w:rPr>
      </w:pPr>
      <w:r>
        <w:rPr>
          <w:rFonts w:ascii="Times New Roman" w:hAnsi="Times New Roman"/>
          <w:sz w:val="28"/>
          <w:szCs w:val="28"/>
        </w:rPr>
        <w:t>Суммарная кадастровая стоимость объектов до оспаривания в 2016 году составляла 35 440 496 545 руб., после оспаривания стала составлять 25 124 519 330 руб. Снижение составило 10 315 977 251 руб. или 29 %.</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r>
    </w:p>
    <w:p>
      <w:pPr>
        <w:pStyle w:val="Normal"/>
        <w:widowControl w:val="false"/>
        <w:spacing w:lineRule="auto" w:line="240" w:before="0" w:after="200"/>
        <w:contextualSpacing/>
        <w:jc w:val="both"/>
        <w:rPr>
          <w:rFonts w:ascii="Times New Roman" w:hAnsi="Times New Roman" w:eastAsia="" w:cs="Times New Roman" w:eastAsiaTheme="majorEastAsia"/>
          <w:sz w:val="28"/>
          <w:szCs w:val="28"/>
          <w:lang w:val="en-US" w:eastAsia="en-US" w:bidi="en-US"/>
        </w:rPr>
      </w:pPr>
      <w:r>
        <w:rPr>
          <w:rFonts w:eastAsia="" w:cs="Times New Roman" w:eastAsiaTheme="majorEastAsia" w:ascii="Times New Roman" w:hAnsi="Times New Roman"/>
          <w:sz w:val="28"/>
          <w:szCs w:val="28"/>
          <w:lang w:val="en-US"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8"/>
          <w:szCs w:val="28"/>
          <w:lang w:val="en-US" w:eastAsia="en-US" w:bidi="en-US"/>
        </w:rPr>
      </w:pPr>
      <w:r>
        <w:rPr>
          <w:rFonts w:eastAsia="" w:cs="Times New Roman" w:eastAsiaTheme="majorEastAsia" w:ascii="Times New Roman" w:hAnsi="Times New Roman"/>
          <w:sz w:val="28"/>
          <w:szCs w:val="28"/>
          <w:lang w:val="en-US"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8"/>
          <w:szCs w:val="28"/>
          <w:lang w:val="en-US" w:eastAsia="en-US" w:bidi="en-US"/>
        </w:rPr>
      </w:pPr>
      <w:r>
        <w:rPr>
          <w:rFonts w:eastAsia="" w:cs="Times New Roman" w:eastAsiaTheme="majorEastAsia" w:ascii="Times New Roman" w:hAnsi="Times New Roman"/>
          <w:sz w:val="28"/>
          <w:szCs w:val="28"/>
          <w:lang w:val="en-US"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8"/>
          <w:szCs w:val="28"/>
          <w:lang w:eastAsia="en-US" w:bidi="en-US"/>
        </w:rPr>
      </w:pPr>
      <w:r>
        <w:rPr>
          <w:rFonts w:eastAsia="" w:cs="Times New Roman" w:eastAsiaTheme="majorEastAsia" w:ascii="Times New Roman" w:hAnsi="Times New Roman"/>
          <w:sz w:val="28"/>
          <w:szCs w:val="28"/>
          <w:lang w:eastAsia="en-US" w:bidi="en-US"/>
        </w:rPr>
      </w:r>
    </w:p>
    <w:tbl>
      <w:tblPr>
        <w:tblStyle w:val="a5"/>
        <w:tblW w:w="957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785"/>
        <w:gridCol w:w="4784"/>
      </w:tblGrid>
      <w:tr>
        <w:trPr/>
        <w:tc>
          <w:tcPr>
            <w:tcW w:w="4785" w:type="dxa"/>
            <w:tcBorders>
              <w:top w:val="nil"/>
              <w:left w:val="nil"/>
              <w:bottom w:val="nil"/>
              <w:right w:val="nil"/>
            </w:tcBorders>
          </w:tcPr>
          <w:p>
            <w:pPr>
              <w:pStyle w:val="Normal"/>
              <w:widowControl w:val="false"/>
              <w:spacing w:lineRule="auto" w:line="240" w:before="0" w:after="200"/>
              <w:contextualSpacing/>
              <w:jc w:val="both"/>
              <w:rPr>
                <w:rFonts w:ascii="Times New Roman" w:hAnsi="Times New Roman" w:cs="Times New Roman"/>
                <w:sz w:val="28"/>
                <w:szCs w:val="28"/>
                <w:lang w:val="ru-RU"/>
              </w:rPr>
            </w:pPr>
            <w:r>
              <w:rPr>
                <w:rFonts w:eastAsia="" w:cs="Times New Roman" w:ascii="Times New Roman" w:hAnsi="Times New Roman"/>
                <w:kern w:val="0"/>
                <w:sz w:val="28"/>
                <w:szCs w:val="28"/>
                <w:lang w:val="ru-RU" w:eastAsia="en-US" w:bidi="en-US"/>
              </w:rPr>
              <w:t>И.о. руководителя Управления</w:t>
            </w:r>
          </w:p>
          <w:p>
            <w:pPr>
              <w:pStyle w:val="Normal"/>
              <w:widowControl w:val="false"/>
              <w:spacing w:lineRule="auto" w:line="240" w:before="0" w:after="200"/>
              <w:contextualSpacing/>
              <w:jc w:val="both"/>
              <w:rPr>
                <w:rFonts w:ascii="Times New Roman" w:hAnsi="Times New Roman" w:cs="Times New Roman"/>
                <w:sz w:val="28"/>
                <w:szCs w:val="28"/>
                <w:lang w:val="ru-RU"/>
              </w:rPr>
            </w:pPr>
            <w:r>
              <w:rPr>
                <w:rFonts w:eastAsia="" w:cs="Times New Roman" w:ascii="Times New Roman" w:hAnsi="Times New Roman"/>
                <w:kern w:val="0"/>
                <w:sz w:val="28"/>
                <w:szCs w:val="28"/>
                <w:lang w:val="ru-RU" w:eastAsia="en-US" w:bidi="en-US"/>
              </w:rPr>
              <w:t>Росреестра по Приморскому краю</w:t>
            </w:r>
          </w:p>
        </w:tc>
        <w:tc>
          <w:tcPr>
            <w:tcW w:w="4784" w:type="dxa"/>
            <w:tcBorders>
              <w:top w:val="nil"/>
              <w:left w:val="nil"/>
              <w:bottom w:val="nil"/>
              <w:right w:val="nil"/>
            </w:tcBorders>
          </w:tcPr>
          <w:p>
            <w:pPr>
              <w:pStyle w:val="Normal"/>
              <w:widowControl w:val="false"/>
              <w:spacing w:lineRule="auto" w:line="240" w:before="0" w:after="200"/>
              <w:contextualSpacing/>
              <w:jc w:val="right"/>
              <w:rPr>
                <w:rFonts w:ascii="Times New Roman" w:hAnsi="Times New Roman" w:cs="Times New Roman"/>
                <w:sz w:val="28"/>
                <w:szCs w:val="28"/>
                <w:lang w:val="ru-RU"/>
              </w:rPr>
            </w:pPr>
            <w:r>
              <w:rPr>
                <w:rFonts w:eastAsia="" w:cs="Times New Roman" w:ascii="Times New Roman" w:hAnsi="Times New Roman"/>
                <w:kern w:val="0"/>
                <w:sz w:val="22"/>
                <w:szCs w:val="22"/>
                <w:lang w:val="en-US" w:eastAsia="en-US" w:bidi="en-US"/>
              </w:rPr>
            </w:r>
          </w:p>
          <w:p>
            <w:pPr>
              <w:pStyle w:val="Normal"/>
              <w:widowControl w:val="false"/>
              <w:spacing w:lineRule="auto" w:line="240" w:before="0" w:after="200"/>
              <w:contextualSpacing/>
              <w:jc w:val="right"/>
              <w:rPr>
                <w:rFonts w:ascii="Times New Roman" w:hAnsi="Times New Roman" w:cs="Times New Roman"/>
                <w:sz w:val="28"/>
                <w:szCs w:val="28"/>
                <w:lang w:val="ru-RU"/>
              </w:rPr>
            </w:pPr>
            <w:r>
              <w:rPr>
                <w:rFonts w:eastAsia="" w:cs="Times New Roman" w:ascii="Times New Roman" w:hAnsi="Times New Roman"/>
                <w:kern w:val="0"/>
                <w:sz w:val="28"/>
                <w:szCs w:val="28"/>
                <w:lang w:val="ru-RU" w:eastAsia="en-US" w:bidi="en-US"/>
              </w:rPr>
              <w:t>Н.В. Балыш</w:t>
            </w:r>
          </w:p>
        </w:tc>
      </w:tr>
    </w:tbl>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200"/>
        <w:contextualSpacing/>
        <w:jc w:val="both"/>
        <w:rPr>
          <w:rFonts w:ascii="Times New Roman" w:hAnsi="Times New Roman" w:eastAsia="" w:cs="Times New Roman" w:eastAsiaTheme="majorEastAsia"/>
          <w:sz w:val="24"/>
          <w:szCs w:val="24"/>
          <w:lang w:eastAsia="en-US" w:bidi="en-US"/>
        </w:rPr>
      </w:pPr>
      <w:r>
        <w:rPr>
          <w:rFonts w:eastAsia="" w:cs="Times New Roman" w:eastAsiaTheme="majorEastAsia" w:ascii="Times New Roman" w:hAnsi="Times New Roman"/>
          <w:sz w:val="24"/>
          <w:szCs w:val="24"/>
          <w:lang w:eastAsia="en-US" w:bidi="en-US"/>
        </w:rPr>
      </w:r>
    </w:p>
    <w:p>
      <w:pPr>
        <w:pStyle w:val="Normal"/>
        <w:widowControl w:val="false"/>
        <w:spacing w:lineRule="auto" w:line="240" w:before="0" w:after="0"/>
        <w:contextualSpacing/>
        <w:jc w:val="both"/>
        <w:rPr>
          <w:rFonts w:ascii="Times New Roman" w:hAnsi="Times New Roman" w:eastAsia="" w:cs="Times New Roman" w:eastAsiaTheme="majorEastAsia"/>
          <w:sz w:val="24"/>
          <w:szCs w:val="24"/>
          <w:lang w:eastAsia="en-US" w:bidi="en-US"/>
        </w:rPr>
      </w:pPr>
      <w:r>
        <w:rPr>
          <w:rFonts w:eastAsia="" w:cs="Times New Roman" w:ascii="Times New Roman" w:hAnsi="Times New Roman" w:eastAsiaTheme="majorEastAsia"/>
          <w:sz w:val="24"/>
          <w:szCs w:val="24"/>
          <w:lang w:eastAsia="en-US" w:bidi="en-US"/>
        </w:rPr>
        <w:t>В подготовке глав и разделов Доклада принимали участие:</w:t>
      </w:r>
    </w:p>
    <w:p>
      <w:pPr>
        <w:pStyle w:val="Normal"/>
        <w:widowControl w:val="false"/>
        <w:spacing w:lineRule="auto" w:line="240" w:before="0" w:after="0"/>
        <w:contextualSpacing/>
        <w:jc w:val="both"/>
        <w:rPr>
          <w:rFonts w:ascii="Times New Roman" w:hAnsi="Times New Roman" w:eastAsia="" w:cs="Times New Roman" w:eastAsiaTheme="majorEastAsia"/>
          <w:sz w:val="24"/>
          <w:szCs w:val="24"/>
          <w:lang w:eastAsia="en-US" w:bidi="en-US"/>
        </w:rPr>
      </w:pPr>
      <w:r>
        <w:rPr>
          <w:rFonts w:eastAsia="" w:cs="Times New Roman" w:ascii="Times New Roman" w:hAnsi="Times New Roman" w:eastAsiaTheme="majorEastAsia"/>
          <w:sz w:val="24"/>
          <w:szCs w:val="24"/>
          <w:lang w:eastAsia="en-US" w:bidi="en-US"/>
        </w:rPr>
        <w:t xml:space="preserve">Гуцуляк М.А.,  Кузин Н.М., Норкина А.Ю., Суходуб Е.А. </w:t>
      </w:r>
    </w:p>
    <w:p>
      <w:pPr>
        <w:pStyle w:val="Normal"/>
        <w:widowControl w:val="false"/>
        <w:spacing w:lineRule="auto" w:line="240" w:before="0" w:after="0"/>
        <w:contextualSpacing/>
        <w:jc w:val="both"/>
        <w:rPr>
          <w:rFonts w:ascii="Times New Roman" w:hAnsi="Times New Roman" w:eastAsia="" w:cs="Times New Roman" w:eastAsiaTheme="majorEastAsia"/>
          <w:sz w:val="24"/>
          <w:szCs w:val="24"/>
          <w:lang w:eastAsia="en-US" w:bidi="en-US"/>
        </w:rPr>
      </w:pPr>
      <w:r>
        <w:rPr>
          <w:rFonts w:eastAsia="" w:cs="Times New Roman" w:ascii="Times New Roman" w:hAnsi="Times New Roman" w:eastAsiaTheme="majorEastAsia"/>
          <w:sz w:val="24"/>
          <w:szCs w:val="24"/>
          <w:lang w:eastAsia="en-US" w:bidi="en-US"/>
        </w:rPr>
        <w:t>Общая редакция:  Суходуб Е.А.</w:t>
      </w:r>
    </w:p>
    <w:p>
      <w:pPr>
        <w:pStyle w:val="Normal"/>
        <w:widowControl w:val="false"/>
        <w:spacing w:lineRule="auto" w:line="240" w:before="0" w:after="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widowControl w:val="false"/>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widowControl w:val="false"/>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widowControl w:val="false"/>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
        <w:widowControl w:val="false"/>
        <w:spacing w:lineRule="auto" w:line="240" w:before="0" w:after="200"/>
        <w:contextualSpacing/>
        <w:jc w:val="center"/>
        <w:rPr>
          <w:rFonts w:ascii="Times New Roman" w:hAnsi="Times New Roman" w:eastAsia="" w:cs="Times New Roman" w:eastAsiaTheme="majorEastAsia"/>
          <w:b/>
          <w:b/>
          <w:sz w:val="28"/>
          <w:szCs w:val="28"/>
          <w:lang w:eastAsia="en-US" w:bidi="en-US"/>
        </w:rPr>
      </w:pPr>
      <w:r>
        <w:rPr>
          <w:rFonts w:eastAsia="" w:cs="Times New Roman" w:eastAsiaTheme="majorEastAsia" w:ascii="Times New Roman" w:hAnsi="Times New Roman"/>
          <w:b/>
          <w:sz w:val="28"/>
          <w:szCs w:val="28"/>
          <w:lang w:eastAsia="en-US" w:bidi="en-US"/>
        </w:rPr>
      </w:r>
    </w:p>
    <w:p>
      <w:pPr>
        <w:pStyle w:val="NormalWeb"/>
        <w:spacing w:lineRule="auto" w:line="240"/>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t>ПРИЛОЖЕНИЯ</w:t>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Style34"/>
        <w:spacing w:lineRule="auto" w:line="240" w:before="0" w:after="200"/>
        <w:contextualSpacing/>
        <w:jc w:val="center"/>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Web"/>
        <w:jc w:val="right"/>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Web"/>
        <w:jc w:val="right"/>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Web"/>
        <w:jc w:val="right"/>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Web"/>
        <w:jc w:val="right"/>
        <w:rPr>
          <w:rFonts w:ascii="Times New Roman" w:hAnsi="Times New Roman" w:cs="Times New Roman"/>
          <w:sz w:val="28"/>
          <w:szCs w:val="28"/>
          <w:lang w:val="ru-RU"/>
        </w:rPr>
      </w:pPr>
      <w:r>
        <w:rPr>
          <w:rFonts w:cs="Times New Roman" w:ascii="Times New Roman" w:hAnsi="Times New Roman"/>
          <w:sz w:val="28"/>
          <w:szCs w:val="28"/>
          <w:lang w:val="ru-RU"/>
        </w:rPr>
        <w:t>Приложение № 1</w:t>
      </w:r>
    </w:p>
    <w:p>
      <w:pPr>
        <w:pStyle w:val="NormalWeb"/>
        <w:spacing w:lineRule="auto" w:line="240" w:before="0" w:after="20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t>Распределение земель Приморского края по категориям в разрезе</w:t>
      </w:r>
    </w:p>
    <w:p>
      <w:pPr>
        <w:pStyle w:val="NormalWeb"/>
        <w:spacing w:lineRule="auto" w:line="240" w:before="0" w:after="20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t>муниципальных образований Приморского края (на 1 января 2017 года, тыс. га)</w:t>
      </w:r>
    </w:p>
    <w:tbl>
      <w:tblPr>
        <w:tblW w:w="10275" w:type="dxa"/>
        <w:jc w:val="center"/>
        <w:tblInd w:w="0" w:type="dxa"/>
        <w:tblLayout w:type="fixed"/>
        <w:tblCellMar>
          <w:top w:w="0" w:type="dxa"/>
          <w:left w:w="108" w:type="dxa"/>
          <w:bottom w:w="0" w:type="dxa"/>
          <w:right w:w="108" w:type="dxa"/>
        </w:tblCellMar>
        <w:tblLook w:val="00a0" w:noHBand="0" w:noVBand="0" w:firstColumn="1" w:lastRow="0" w:lastColumn="0" w:firstRow="1"/>
      </w:tblPr>
      <w:tblGrid>
        <w:gridCol w:w="816"/>
        <w:gridCol w:w="1771"/>
        <w:gridCol w:w="1081"/>
        <w:gridCol w:w="991"/>
        <w:gridCol w:w="1134"/>
        <w:gridCol w:w="990"/>
        <w:gridCol w:w="897"/>
        <w:gridCol w:w="815"/>
        <w:gridCol w:w="863"/>
        <w:gridCol w:w="916"/>
      </w:tblGrid>
      <w:tr>
        <w:trPr>
          <w:trHeight w:val="2027" w:hRule="atLeast"/>
          <w:cantSplit w:val="true"/>
        </w:trPr>
        <w:tc>
          <w:tcPr>
            <w:tcW w:w="816" w:type="dxa"/>
            <w:tcBorders>
              <w:top w:val="single" w:sz="4" w:space="0" w:color="000000"/>
              <w:left w:val="single" w:sz="4" w:space="0" w:color="000000"/>
              <w:bottom w:val="single" w:sz="4" w:space="0" w:color="000000"/>
              <w:right w:val="single" w:sz="4" w:space="0" w:color="000000"/>
            </w:tcBorders>
            <w:textDirection w:val="btLr"/>
          </w:tcPr>
          <w:p>
            <w:pPr>
              <w:pStyle w:val="Normal"/>
              <w:widowControl w:val="false"/>
              <w:spacing w:lineRule="auto" w:line="240" w:before="0" w:after="200"/>
              <w:ind w:left="113" w:right="113" w:hanging="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Код муниципаль</w:t>
              <w:softHyphen/>
              <w:t>ного образования</w:t>
            </w:r>
          </w:p>
        </w:tc>
        <w:tc>
          <w:tcPr>
            <w:tcW w:w="17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jc w:val="center"/>
              <w:rPr>
                <w:rFonts w:ascii="Times New Roman" w:hAnsi="Times New Roman" w:cs="Times New Roman"/>
                <w:sz w:val="20"/>
                <w:szCs w:val="20"/>
              </w:rPr>
            </w:pPr>
            <w:r>
              <w:rPr>
                <w:rFonts w:cs="Times New Roman" w:ascii="Times New Roman" w:hAnsi="Times New Roman"/>
                <w:sz w:val="20"/>
                <w:szCs w:val="20"/>
              </w:rPr>
            </w:r>
          </w:p>
          <w:p>
            <w:pPr>
              <w:pStyle w:val="Normal"/>
              <w:widowControl w:val="false"/>
              <w:spacing w:lineRule="auto" w:line="240"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Наименование муниципальных образований</w:t>
            </w:r>
          </w:p>
        </w:tc>
        <w:tc>
          <w:tcPr>
            <w:tcW w:w="1081" w:type="dxa"/>
            <w:tcBorders>
              <w:top w:val="single" w:sz="4" w:space="0" w:color="000000"/>
              <w:left w:val="single" w:sz="4" w:space="0" w:color="000000"/>
              <w:bottom w:val="single" w:sz="4" w:space="0" w:color="000000"/>
              <w:right w:val="single" w:sz="4" w:space="0" w:color="000000"/>
            </w:tcBorders>
            <w:textDirection w:val="btLr"/>
          </w:tcPr>
          <w:p>
            <w:pPr>
              <w:pStyle w:val="Normal"/>
              <w:widowControl w:val="false"/>
              <w:spacing w:lineRule="auto" w:line="240" w:before="0" w:after="200"/>
              <w:ind w:left="113" w:right="113" w:hanging="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Земли сельскохозяйственного назначения</w:t>
            </w:r>
          </w:p>
        </w:tc>
        <w:tc>
          <w:tcPr>
            <w:tcW w:w="991" w:type="dxa"/>
            <w:tcBorders>
              <w:top w:val="single" w:sz="4" w:space="0" w:color="000000"/>
              <w:left w:val="single" w:sz="4" w:space="0" w:color="000000"/>
              <w:bottom w:val="single" w:sz="4" w:space="0" w:color="000000"/>
              <w:right w:val="single" w:sz="4" w:space="0" w:color="000000"/>
            </w:tcBorders>
            <w:textDirection w:val="btLr"/>
          </w:tcPr>
          <w:p>
            <w:pPr>
              <w:pStyle w:val="Normal"/>
              <w:widowControl w:val="false"/>
              <w:spacing w:lineRule="auto" w:line="240" w:before="0" w:after="200"/>
              <w:ind w:left="113" w:right="113" w:hanging="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Земли населенных пунктов</w:t>
            </w:r>
          </w:p>
        </w:tc>
        <w:tc>
          <w:tcPr>
            <w:tcW w:w="1134" w:type="dxa"/>
            <w:tcBorders>
              <w:top w:val="single" w:sz="4" w:space="0" w:color="000000"/>
              <w:left w:val="single" w:sz="4" w:space="0" w:color="000000"/>
              <w:bottom w:val="single" w:sz="4" w:space="0" w:color="000000"/>
              <w:right w:val="single" w:sz="4" w:space="0" w:color="000000"/>
            </w:tcBorders>
            <w:textDirection w:val="btLr"/>
          </w:tcPr>
          <w:p>
            <w:pPr>
              <w:pStyle w:val="Normal"/>
              <w:widowControl w:val="false"/>
              <w:spacing w:lineRule="auto" w:line="240" w:before="0" w:after="200"/>
              <w:ind w:left="113" w:right="113" w:hanging="0"/>
              <w:contextualSpacing/>
              <w:jc w:val="center"/>
              <w:rPr>
                <w:rFonts w:ascii="Times New Roman" w:hAnsi="Times New Roman" w:cs="Times New Roman"/>
                <w:sz w:val="20"/>
                <w:szCs w:val="20"/>
                <w:lang w:eastAsia="en-US" w:bidi="en-US"/>
              </w:rPr>
            </w:pPr>
            <w:r>
              <w:rPr>
                <w:rFonts w:cs="Times New Roman" w:ascii="Times New Roman" w:hAnsi="Times New Roman"/>
                <w:sz w:val="20"/>
                <w:szCs w:val="20"/>
              </w:rPr>
              <w:t>Земли промышленности и иного специального назначения</w:t>
            </w:r>
          </w:p>
        </w:tc>
        <w:tc>
          <w:tcPr>
            <w:tcW w:w="990" w:type="dxa"/>
            <w:tcBorders>
              <w:top w:val="single" w:sz="4" w:space="0" w:color="000000"/>
              <w:left w:val="single" w:sz="4" w:space="0" w:color="000000"/>
              <w:bottom w:val="single" w:sz="4" w:space="0" w:color="000000"/>
              <w:right w:val="single" w:sz="4" w:space="0" w:color="000000"/>
            </w:tcBorders>
            <w:textDirection w:val="btLr"/>
          </w:tcPr>
          <w:p>
            <w:pPr>
              <w:pStyle w:val="Normal"/>
              <w:widowControl w:val="false"/>
              <w:spacing w:lineRule="auto" w:line="240" w:before="0" w:after="200"/>
              <w:ind w:left="113" w:right="113" w:hanging="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Земли особо охраняемых территорий</w:t>
            </w:r>
          </w:p>
        </w:tc>
        <w:tc>
          <w:tcPr>
            <w:tcW w:w="897" w:type="dxa"/>
            <w:tcBorders>
              <w:top w:val="single" w:sz="4" w:space="0" w:color="000000"/>
              <w:left w:val="single" w:sz="4" w:space="0" w:color="000000"/>
              <w:bottom w:val="single" w:sz="4" w:space="0" w:color="000000"/>
              <w:right w:val="single" w:sz="4" w:space="0" w:color="000000"/>
            </w:tcBorders>
            <w:textDirection w:val="btLr"/>
          </w:tcPr>
          <w:p>
            <w:pPr>
              <w:pStyle w:val="Normal"/>
              <w:widowControl w:val="false"/>
              <w:spacing w:lineRule="auto" w:line="240" w:before="0" w:after="200"/>
              <w:ind w:left="113" w:right="113" w:hanging="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Земли лесного фонда</w:t>
            </w:r>
          </w:p>
        </w:tc>
        <w:tc>
          <w:tcPr>
            <w:tcW w:w="815" w:type="dxa"/>
            <w:tcBorders>
              <w:top w:val="single" w:sz="4" w:space="0" w:color="000000"/>
              <w:left w:val="single" w:sz="4" w:space="0" w:color="000000"/>
              <w:bottom w:val="single" w:sz="4" w:space="0" w:color="000000"/>
              <w:right w:val="single" w:sz="4" w:space="0" w:color="000000"/>
            </w:tcBorders>
            <w:textDirection w:val="btLr"/>
          </w:tcPr>
          <w:p>
            <w:pPr>
              <w:pStyle w:val="Normal"/>
              <w:widowControl w:val="false"/>
              <w:spacing w:lineRule="auto" w:line="240" w:before="0" w:after="200"/>
              <w:ind w:left="113" w:right="113" w:hanging="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Земли водного фонда</w:t>
            </w:r>
          </w:p>
        </w:tc>
        <w:tc>
          <w:tcPr>
            <w:tcW w:w="863" w:type="dxa"/>
            <w:tcBorders>
              <w:top w:val="single" w:sz="4" w:space="0" w:color="000000"/>
              <w:left w:val="single" w:sz="4" w:space="0" w:color="000000"/>
              <w:bottom w:val="single" w:sz="4" w:space="0" w:color="000000"/>
              <w:right w:val="single" w:sz="4" w:space="0" w:color="000000"/>
            </w:tcBorders>
            <w:textDirection w:val="btLr"/>
          </w:tcPr>
          <w:p>
            <w:pPr>
              <w:pStyle w:val="Normal"/>
              <w:widowControl w:val="false"/>
              <w:spacing w:lineRule="auto" w:line="240" w:before="0" w:after="200"/>
              <w:ind w:left="113" w:right="113" w:hanging="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Земли запаса</w:t>
            </w:r>
          </w:p>
        </w:tc>
        <w:tc>
          <w:tcPr>
            <w:tcW w:w="916" w:type="dxa"/>
            <w:tcBorders>
              <w:top w:val="single" w:sz="4" w:space="0" w:color="000000"/>
              <w:left w:val="single" w:sz="4" w:space="0" w:color="000000"/>
              <w:bottom w:val="single" w:sz="4" w:space="0" w:color="000000"/>
              <w:right w:val="single" w:sz="4" w:space="0" w:color="000000"/>
            </w:tcBorders>
            <w:textDirection w:val="btLr"/>
          </w:tcPr>
          <w:p>
            <w:pPr>
              <w:pStyle w:val="Normal"/>
              <w:widowControl w:val="false"/>
              <w:spacing w:lineRule="auto" w:line="240" w:before="0" w:after="200"/>
              <w:ind w:left="113" w:right="113" w:hanging="0"/>
              <w:contextualSpacing/>
              <w:jc w:val="center"/>
              <w:rPr>
                <w:rFonts w:ascii="Times New Roman" w:hAnsi="Times New Roman" w:cs="Times New Roman"/>
                <w:sz w:val="20"/>
                <w:szCs w:val="20"/>
                <w:lang w:eastAsia="en-US" w:bidi="en-US"/>
              </w:rPr>
            </w:pPr>
            <w:r>
              <w:rPr>
                <w:rFonts w:cs="Times New Roman" w:ascii="Times New Roman" w:hAnsi="Times New Roman"/>
                <w:sz w:val="20"/>
                <w:szCs w:val="20"/>
              </w:rPr>
              <w:t>Итого земель в административных границах</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1</w:t>
            </w:r>
          </w:p>
        </w:tc>
        <w:tc>
          <w:tcPr>
            <w:tcW w:w="177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2</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3</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4</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5</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6</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7</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8</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9</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10</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01</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Анучинский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50,3</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3,6</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1,8</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327,3</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0,3</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5,2</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388,5</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02</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Дальнереченский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69,1</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3,6</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7,4</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558</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85,5</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723,6</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03</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Дальнегорский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5,2</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6,9</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1,9</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14</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505,7</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0,5</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534,2</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04</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Кавалеровский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14,5</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3,3</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0,8</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401,1</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1,7</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421,5</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05</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Кировский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123,3</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4,2</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1,7</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16,6</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195,1</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3,4</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4,0</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348,4</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06</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Красноармейский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50,4</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6</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250,2</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1690,0</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59,7</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2060,3</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07</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Лазовский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17,8</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1,1</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23,1</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130,4</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248,9</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47,9</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469,2</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08</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Лесозаводский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128,4</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9,4</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9,3</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141</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1,9</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16,4</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306,4</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09</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Михайловский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110,5</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4,6</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7,6</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116,7</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34,7</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274,1</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10</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Надеждинский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53,5</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4,9</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65,1</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2,4</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30,7</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159,6</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11</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Октябрьский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86,1</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4,5</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22,7</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1,0</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1,2</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47,7</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163,3</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12</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Ольгинский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19,9</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2,7</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13,2</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46,0</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531,5</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28,3</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641,6</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13</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Партизанский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23,6</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2,7</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9,0</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361,3</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0,4</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12,7</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409,7</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14</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Пограничный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128,8</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3,2</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33,4</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194,3</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15,3</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375,0</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15</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Пожарский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52,5</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2,3</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10,7</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2117,2</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2,3</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72</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2257,0</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16</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Спасский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137,0</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22,7</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14,2</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186,6</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0,2</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56,1</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420,9</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17</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Тернейский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7,8</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4,7</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1,2</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223,2</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2440,8</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32,5</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2710,2</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18</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Уссурийский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128,5</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3,5</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49,4</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16,8</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145,9</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1,2</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345,3</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19</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Ханкайский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125,0</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9,6</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6,1</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0,3</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107,8</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0,7</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19,3</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268,9</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20</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Хасанский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146,3</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10,4</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57,6</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69,5</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111,6</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3,7</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13,9</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413,0</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21</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Хорольский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150,3</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7,1</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6</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1,6</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22,6</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9,2</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196,9</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22</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Черниговский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78,1</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4,8</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5,8</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1,0</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68,1</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26,2</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184,0</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23</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Чугуевский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42,4</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7,9</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1,8</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29,9</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1147,6</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5,1</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1234,7</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24</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Шкотовский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26,5</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9,4</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14,8</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24,3</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169,3</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22,2</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266,5</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25</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Яковлевский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50,3</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3,7</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4,4</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0,2</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175,5</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5,9</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240,0</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26</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г. Арсеньев</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3,9</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3,9</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27</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г. Артем</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13,9</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12,4</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1,8</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15,7</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6,8</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50,6</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28</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г. Владивосток</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7</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37,1</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5,9</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3,5</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2,6</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56,2</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29</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г. Дальнереченск</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10,7</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0,1</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10,8</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30</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г. Находка</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5,9</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16,2</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0,8</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6,3</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6,8</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36,0</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31</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г. Спасск-Дальний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4,3</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4,3</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32</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г. Партизанск</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11,8</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21,7</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10,0</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80,4</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128,9</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33</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г. Уссурийск</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0,7</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10,9</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5</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0,7</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17,3</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34</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rPr>
                <w:rFonts w:ascii="Times New Roman" w:hAnsi="Times New Roman" w:cs="Times New Roman"/>
                <w:sz w:val="20"/>
                <w:szCs w:val="20"/>
                <w:lang w:val="en-US" w:eastAsia="en-US" w:bidi="en-US"/>
              </w:rPr>
            </w:pPr>
            <w:r>
              <w:rPr>
                <w:rFonts w:cs="Times New Roman" w:ascii="Times New Roman" w:hAnsi="Times New Roman"/>
                <w:sz w:val="20"/>
                <w:szCs w:val="20"/>
              </w:rPr>
              <w:t>ЗАТО город Фокино</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7,6</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2,9</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17,8</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0,8</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29,1</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val="en-US" w:eastAsia="en-US" w:bidi="en-US"/>
              </w:rPr>
            </w:pPr>
            <w:r>
              <w:rPr>
                <w:rFonts w:cs="Times New Roman" w:ascii="Times New Roman" w:hAnsi="Times New Roman"/>
                <w:sz w:val="20"/>
                <w:szCs w:val="20"/>
              </w:rPr>
              <w:t>35</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rPr>
                <w:rFonts w:ascii="Times New Roman" w:hAnsi="Times New Roman" w:cs="Times New Roman"/>
                <w:sz w:val="20"/>
                <w:szCs w:val="20"/>
                <w:lang w:eastAsia="en-US" w:bidi="en-US"/>
              </w:rPr>
            </w:pPr>
            <w:r>
              <w:rPr>
                <w:rFonts w:cs="Times New Roman" w:ascii="Times New Roman" w:hAnsi="Times New Roman"/>
                <w:sz w:val="20"/>
                <w:szCs w:val="20"/>
              </w:rPr>
              <w:t>г. Большой Камень</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2,0</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3,4</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0,7</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0,4</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2,0</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3,5</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12,0</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rPr>
              <w:t>36</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imes New Roman" w:hAnsi="Times New Roman" w:cs="Times New Roman"/>
                <w:sz w:val="20"/>
                <w:szCs w:val="20"/>
                <w:lang w:eastAsia="en-US" w:bidi="en-US"/>
              </w:rPr>
            </w:pPr>
            <w:r>
              <w:rPr>
                <w:rFonts w:cs="Times New Roman" w:ascii="Times New Roman" w:hAnsi="Times New Roman"/>
                <w:sz w:val="20"/>
                <w:szCs w:val="20"/>
              </w:rPr>
              <w:t>Озеро Ханка</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305,2</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t>305,2</w:t>
            </w:r>
          </w:p>
        </w:tc>
      </w:tr>
      <w:tr>
        <w:trPr/>
        <w:tc>
          <w:tcPr>
            <w:tcW w:w="258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0"/>
                <w:szCs w:val="20"/>
                <w:lang w:eastAsia="en-US" w:bidi="en-US"/>
              </w:rPr>
            </w:pPr>
            <w:r>
              <w:rPr>
                <w:rFonts w:cs="Times New Roman" w:ascii="Times New Roman" w:hAnsi="Times New Roman"/>
                <w:b/>
                <w:sz w:val="20"/>
                <w:szCs w:val="20"/>
              </w:rPr>
              <w:t>Приморский край</w:t>
            </w:r>
          </w:p>
        </w:tc>
        <w:tc>
          <w:tcPr>
            <w:tcW w:w="1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0"/>
                <w:szCs w:val="20"/>
                <w:lang w:eastAsia="en-US" w:bidi="en-US"/>
              </w:rPr>
            </w:pPr>
            <w:r>
              <w:rPr>
                <w:rFonts w:cs="Times New Roman" w:ascii="Times New Roman" w:hAnsi="Times New Roman"/>
                <w:b/>
                <w:sz w:val="20"/>
                <w:szCs w:val="20"/>
                <w:lang w:eastAsia="en-US" w:bidi="en-US"/>
              </w:rPr>
              <w:t>1862,3</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0"/>
                <w:szCs w:val="20"/>
                <w:lang w:eastAsia="en-US" w:bidi="en-US"/>
              </w:rPr>
            </w:pPr>
            <w:r>
              <w:rPr>
                <w:rFonts w:cs="Times New Roman" w:ascii="Times New Roman" w:hAnsi="Times New Roman"/>
                <w:b/>
                <w:sz w:val="20"/>
                <w:szCs w:val="20"/>
                <w:lang w:eastAsia="en-US" w:bidi="en-US"/>
              </w:rPr>
              <w:t>249,4</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0"/>
                <w:szCs w:val="20"/>
                <w:lang w:eastAsia="en-US" w:bidi="en-US"/>
              </w:rPr>
            </w:pPr>
            <w:r>
              <w:rPr>
                <w:rFonts w:cs="Times New Roman" w:ascii="Times New Roman" w:hAnsi="Times New Roman"/>
                <w:b/>
                <w:sz w:val="20"/>
                <w:szCs w:val="20"/>
                <w:lang w:eastAsia="en-US" w:bidi="en-US"/>
              </w:rPr>
              <w:t>384,3</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0"/>
                <w:szCs w:val="20"/>
                <w:lang w:eastAsia="en-US" w:bidi="en-US"/>
              </w:rPr>
            </w:pPr>
            <w:r>
              <w:rPr>
                <w:rFonts w:cs="Times New Roman" w:ascii="Times New Roman" w:hAnsi="Times New Roman"/>
                <w:b/>
                <w:sz w:val="20"/>
                <w:szCs w:val="20"/>
                <w:lang w:eastAsia="en-US" w:bidi="en-US"/>
              </w:rPr>
              <w:t>847,3</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0"/>
                <w:szCs w:val="20"/>
                <w:lang w:eastAsia="en-US" w:bidi="en-US"/>
              </w:rPr>
            </w:pPr>
            <w:r>
              <w:rPr>
                <w:rFonts w:cs="Times New Roman" w:ascii="Times New Roman" w:hAnsi="Times New Roman"/>
                <w:b/>
                <w:sz w:val="20"/>
                <w:szCs w:val="20"/>
                <w:lang w:eastAsia="en-US" w:bidi="en-US"/>
              </w:rPr>
              <w:t>12150,9</w:t>
            </w:r>
          </w:p>
        </w:tc>
        <w:tc>
          <w:tcPr>
            <w:tcW w:w="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0"/>
                <w:szCs w:val="20"/>
                <w:lang w:eastAsia="en-US" w:bidi="en-US"/>
              </w:rPr>
            </w:pPr>
            <w:r>
              <w:rPr>
                <w:rFonts w:cs="Times New Roman" w:ascii="Times New Roman" w:hAnsi="Times New Roman"/>
                <w:b/>
                <w:sz w:val="20"/>
                <w:szCs w:val="20"/>
                <w:lang w:eastAsia="en-US" w:bidi="en-US"/>
              </w:rPr>
              <w:t>323,2</w:t>
            </w:r>
          </w:p>
        </w:tc>
        <w:tc>
          <w:tcPr>
            <w:tcW w:w="8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0"/>
                <w:szCs w:val="20"/>
                <w:lang w:eastAsia="en-US" w:bidi="en-US"/>
              </w:rPr>
            </w:pPr>
            <w:r>
              <w:rPr>
                <w:rFonts w:cs="Times New Roman" w:ascii="Times New Roman" w:hAnsi="Times New Roman"/>
                <w:b/>
                <w:sz w:val="20"/>
                <w:szCs w:val="20"/>
                <w:lang w:eastAsia="en-US" w:bidi="en-US"/>
              </w:rPr>
              <w:t>649,9</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0"/>
                <w:szCs w:val="20"/>
                <w:lang w:eastAsia="en-US" w:bidi="en-US"/>
              </w:rPr>
            </w:pPr>
            <w:r>
              <w:rPr>
                <w:rFonts w:cs="Times New Roman" w:ascii="Times New Roman" w:hAnsi="Times New Roman"/>
                <w:b/>
                <w:sz w:val="20"/>
                <w:szCs w:val="20"/>
              </w:rPr>
              <w:t>16467,3</w:t>
            </w:r>
          </w:p>
        </w:tc>
      </w:tr>
    </w:tbl>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sectPr>
          <w:headerReference w:type="default" r:id="rId115"/>
          <w:footerReference w:type="default" r:id="rId116"/>
          <w:type w:val="nextPage"/>
          <w:pgSz w:w="11906" w:h="16838"/>
          <w:pgMar w:left="1701" w:right="851" w:gutter="0" w:header="709" w:top="1134" w:footer="709" w:bottom="1134"/>
          <w:pgNumType w:fmt="decimal"/>
          <w:formProt w:val="false"/>
          <w:titlePg/>
          <w:textDirection w:val="lrTb"/>
          <w:docGrid w:type="default" w:linePitch="299" w:charSpace="4096"/>
        </w:sect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sz w:val="28"/>
          <w:szCs w:val="28"/>
        </w:rPr>
      </w:pPr>
      <w:r>
        <w:rPr>
          <w:rFonts w:cs="Times New Roman" w:ascii="Times New Roman" w:hAnsi="Times New Roman"/>
          <w:sz w:val="28"/>
          <w:szCs w:val="28"/>
        </w:rPr>
        <w:t>Приложение № 2</w:t>
      </w:r>
    </w:p>
    <w:p>
      <w:pPr>
        <w:pStyle w:val="Normal"/>
        <w:spacing w:lineRule="auto" w:line="240" w:before="0" w:after="200"/>
        <w:contextualSpacing/>
        <w:jc w:val="center"/>
        <w:rPr>
          <w:rFonts w:ascii="Times New Roman" w:hAnsi="Times New Roman" w:cs="Times New Roman"/>
          <w:b/>
          <w:b/>
          <w:sz w:val="24"/>
          <w:szCs w:val="24"/>
        </w:rPr>
      </w:pPr>
      <w:r>
        <w:rPr>
          <w:rFonts w:cs="Times New Roman" w:ascii="Times New Roman" w:hAnsi="Times New Roman"/>
          <w:b/>
          <w:sz w:val="24"/>
          <w:szCs w:val="24"/>
        </w:rPr>
        <w:t xml:space="preserve">Распределение земель Приморского края по угодьям </w:t>
      </w:r>
    </w:p>
    <w:p>
      <w:pPr>
        <w:pStyle w:val="Normal"/>
        <w:spacing w:lineRule="auto" w:line="240" w:before="0" w:after="200"/>
        <w:contextualSpacing/>
        <w:jc w:val="center"/>
        <w:rPr>
          <w:rFonts w:ascii="Times New Roman" w:hAnsi="Times New Roman" w:cs="Times New Roman"/>
          <w:b/>
          <w:b/>
          <w:sz w:val="24"/>
          <w:szCs w:val="24"/>
        </w:rPr>
      </w:pPr>
      <w:r>
        <w:rPr>
          <w:rFonts w:cs="Times New Roman" w:ascii="Times New Roman" w:hAnsi="Times New Roman"/>
          <w:b/>
          <w:sz w:val="24"/>
          <w:szCs w:val="24"/>
        </w:rPr>
        <w:t>в разрезе муниципальных образований Приморского края (на 01.01.2017, тыс. га)</w:t>
      </w:r>
    </w:p>
    <w:p>
      <w:pPr>
        <w:pStyle w:val="Normal"/>
        <w:jc w:val="both"/>
        <w:rPr>
          <w:rFonts w:ascii="Times New Roman" w:hAnsi="Times New Roman" w:cs="Times New Roman"/>
        </w:rPr>
      </w:pPr>
      <w:r>
        <w:rPr>
          <w:rFonts w:cs="Times New Roman" w:ascii="Times New Roman" w:hAnsi="Times New Roman"/>
        </w:rPr>
      </w:r>
    </w:p>
    <w:tbl>
      <w:tblPr>
        <w:tblW w:w="15345" w:type="dxa"/>
        <w:jc w:val="left"/>
        <w:tblInd w:w="0" w:type="dxa"/>
        <w:tblLayout w:type="fixed"/>
        <w:tblCellMar>
          <w:top w:w="0" w:type="dxa"/>
          <w:left w:w="30" w:type="dxa"/>
          <w:bottom w:w="0" w:type="dxa"/>
          <w:right w:w="30" w:type="dxa"/>
        </w:tblCellMar>
        <w:tblLook w:val="04a0" w:noHBand="0" w:noVBand="1" w:firstColumn="1" w:lastRow="0" w:lastColumn="0" w:firstRow="1"/>
      </w:tblPr>
      <w:tblGrid>
        <w:gridCol w:w="492"/>
        <w:gridCol w:w="1950"/>
        <w:gridCol w:w="990"/>
        <w:gridCol w:w="751"/>
        <w:gridCol w:w="825"/>
        <w:gridCol w:w="809"/>
        <w:gridCol w:w="881"/>
        <w:gridCol w:w="851"/>
        <w:gridCol w:w="849"/>
        <w:gridCol w:w="851"/>
        <w:gridCol w:w="992"/>
        <w:gridCol w:w="850"/>
        <w:gridCol w:w="847"/>
        <w:gridCol w:w="902"/>
        <w:gridCol w:w="798"/>
        <w:gridCol w:w="850"/>
        <w:gridCol w:w="857"/>
      </w:tblGrid>
      <w:tr>
        <w:trPr>
          <w:trHeight w:val="283" w:hRule="atLeast"/>
        </w:trPr>
        <w:tc>
          <w:tcPr>
            <w:tcW w:w="492" w:type="dxa"/>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t xml:space="preserve">№№ </w:t>
            </w:r>
            <w:r>
              <w:rPr>
                <w:rFonts w:cs="Times New Roman" w:ascii="Times New Roman" w:hAnsi="Times New Roman"/>
                <w:color w:val="000000"/>
                <w:sz w:val="20"/>
                <w:szCs w:val="20"/>
              </w:rPr>
              <w:t>п/п</w:t>
            </w:r>
          </w:p>
        </w:tc>
        <w:tc>
          <w:tcPr>
            <w:tcW w:w="1950" w:type="dxa"/>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t>Муниципальные образования</w:t>
            </w:r>
          </w:p>
        </w:tc>
        <w:tc>
          <w:tcPr>
            <w:tcW w:w="990" w:type="dxa"/>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t>Общая площадь</w:t>
            </w:r>
          </w:p>
        </w:tc>
        <w:tc>
          <w:tcPr>
            <w:tcW w:w="3266" w:type="dxa"/>
            <w:gridSpan w:val="4"/>
            <w:tcBorders>
              <w:top w:val="single" w:sz="6" w:space="0" w:color="000000"/>
              <w:left w:val="single" w:sz="6" w:space="0" w:color="000000"/>
              <w:bottom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t>Сельскохозяйственные угодья</w:t>
            </w:r>
          </w:p>
        </w:tc>
        <w:tc>
          <w:tcPr>
            <w:tcW w:w="851" w:type="dxa"/>
            <w:tcBorders>
              <w:top w:val="single" w:sz="6" w:space="0" w:color="000000"/>
              <w:bottom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849" w:type="dxa"/>
            <w:tcBorders>
              <w:top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851" w:type="dxa"/>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t>Лесные земли</w:t>
            </w:r>
          </w:p>
        </w:tc>
        <w:tc>
          <w:tcPr>
            <w:tcW w:w="992" w:type="dxa"/>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t>Лесные насаждения, не входящие в лесной фонд</w:t>
            </w:r>
          </w:p>
        </w:tc>
        <w:tc>
          <w:tcPr>
            <w:tcW w:w="850" w:type="dxa"/>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t>Под водой</w:t>
            </w:r>
          </w:p>
        </w:tc>
        <w:tc>
          <w:tcPr>
            <w:tcW w:w="847" w:type="dxa"/>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t>Земли застройки</w:t>
            </w:r>
          </w:p>
        </w:tc>
        <w:tc>
          <w:tcPr>
            <w:tcW w:w="902" w:type="dxa"/>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t>Под дорогами</w:t>
            </w:r>
          </w:p>
        </w:tc>
        <w:tc>
          <w:tcPr>
            <w:tcW w:w="798" w:type="dxa"/>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t>Болота</w:t>
            </w:r>
          </w:p>
        </w:tc>
        <w:tc>
          <w:tcPr>
            <w:tcW w:w="850" w:type="dxa"/>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t>Нарушенные земли</w:t>
            </w:r>
          </w:p>
        </w:tc>
        <w:tc>
          <w:tcPr>
            <w:tcW w:w="857" w:type="dxa"/>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t>Прочие земли</w:t>
            </w:r>
          </w:p>
        </w:tc>
      </w:tr>
      <w:tr>
        <w:trPr>
          <w:trHeight w:val="283" w:hRule="atLeast"/>
        </w:trPr>
        <w:tc>
          <w:tcPr>
            <w:tcW w:w="492" w:type="dxa"/>
            <w:tcBorders>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1950" w:type="dxa"/>
            <w:tcBorders>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990" w:type="dxa"/>
            <w:tcBorders>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751" w:type="dxa"/>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t>всего</w:t>
            </w:r>
          </w:p>
        </w:tc>
        <w:tc>
          <w:tcPr>
            <w:tcW w:w="1634" w:type="dxa"/>
            <w:gridSpan w:val="2"/>
            <w:tcBorders>
              <w:top w:val="single" w:sz="6" w:space="0" w:color="000000"/>
              <w:left w:val="single" w:sz="6" w:space="0" w:color="000000"/>
              <w:bottom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t>в том числе</w:t>
            </w:r>
          </w:p>
        </w:tc>
        <w:tc>
          <w:tcPr>
            <w:tcW w:w="881" w:type="dxa"/>
            <w:tcBorders>
              <w:top w:val="single" w:sz="6" w:space="0" w:color="000000"/>
              <w:bottom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851" w:type="dxa"/>
            <w:tcBorders>
              <w:top w:val="single" w:sz="6" w:space="0" w:color="000000"/>
              <w:bottom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849" w:type="dxa"/>
            <w:tcBorders>
              <w:top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851" w:type="dxa"/>
            <w:tcBorders>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992" w:type="dxa"/>
            <w:tcBorders>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850" w:type="dxa"/>
            <w:tcBorders>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847" w:type="dxa"/>
            <w:tcBorders>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902" w:type="dxa"/>
            <w:tcBorders>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798" w:type="dxa"/>
            <w:tcBorders>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850" w:type="dxa"/>
            <w:tcBorders>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857" w:type="dxa"/>
            <w:tcBorders>
              <w:left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r>
      <w:tr>
        <w:trPr>
          <w:trHeight w:val="1134" w:hRule="atLeast"/>
          <w:cantSplit w:val="true"/>
        </w:trPr>
        <w:tc>
          <w:tcPr>
            <w:tcW w:w="492" w:type="dxa"/>
            <w:tcBorders>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1950" w:type="dxa"/>
            <w:tcBorders>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990" w:type="dxa"/>
            <w:tcBorders>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751" w:type="dxa"/>
            <w:tcBorders>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825" w:type="dxa"/>
            <w:tcBorders>
              <w:top w:val="single" w:sz="6" w:space="0" w:color="000000"/>
              <w:left w:val="single" w:sz="6" w:space="0" w:color="000000"/>
              <w:bottom w:val="single" w:sz="6" w:space="0" w:color="000000"/>
              <w:right w:val="single" w:sz="6" w:space="0" w:color="000000"/>
            </w:tcBorders>
            <w:textDirection w:val="btLr"/>
            <w:vAlign w:val="center"/>
          </w:tcPr>
          <w:p>
            <w:pPr>
              <w:pStyle w:val="Normal"/>
              <w:widowControl w:val="false"/>
              <w:spacing w:lineRule="auto" w:line="240" w:before="0" w:after="0"/>
              <w:ind w:left="113" w:right="113" w:hanging="0"/>
              <w:contextualSpacing/>
              <w:jc w:val="center"/>
              <w:rPr>
                <w:rFonts w:ascii="Times New Roman" w:hAnsi="Times New Roman" w:cs="Times New Roman"/>
                <w:color w:val="000000"/>
                <w:sz w:val="20"/>
                <w:szCs w:val="20"/>
              </w:rPr>
            </w:pPr>
            <w:r>
              <w:rPr>
                <w:rFonts w:cs="Times New Roman" w:ascii="Times New Roman" w:hAnsi="Times New Roman"/>
                <w:color w:val="000000"/>
                <w:sz w:val="20"/>
                <w:szCs w:val="20"/>
              </w:rPr>
              <w:t>пашня</w:t>
            </w:r>
          </w:p>
        </w:tc>
        <w:tc>
          <w:tcPr>
            <w:tcW w:w="809" w:type="dxa"/>
            <w:tcBorders>
              <w:top w:val="single" w:sz="6" w:space="0" w:color="000000"/>
              <w:left w:val="single" w:sz="6" w:space="0" w:color="000000"/>
              <w:bottom w:val="single" w:sz="6" w:space="0" w:color="000000"/>
              <w:right w:val="single" w:sz="6" w:space="0" w:color="000000"/>
            </w:tcBorders>
            <w:textDirection w:val="btLr"/>
            <w:vAlign w:val="center"/>
          </w:tcPr>
          <w:p>
            <w:pPr>
              <w:pStyle w:val="Normal"/>
              <w:widowControl w:val="false"/>
              <w:spacing w:lineRule="auto" w:line="240" w:before="0" w:after="0"/>
              <w:ind w:left="113" w:right="113" w:hanging="0"/>
              <w:contextualSpacing/>
              <w:jc w:val="center"/>
              <w:rPr>
                <w:rFonts w:ascii="Times New Roman" w:hAnsi="Times New Roman" w:cs="Times New Roman"/>
                <w:color w:val="000000"/>
                <w:sz w:val="20"/>
                <w:szCs w:val="20"/>
              </w:rPr>
            </w:pPr>
            <w:r>
              <w:rPr>
                <w:rFonts w:cs="Times New Roman" w:ascii="Times New Roman" w:hAnsi="Times New Roman"/>
                <w:color w:val="000000"/>
                <w:sz w:val="20"/>
                <w:szCs w:val="20"/>
              </w:rPr>
              <w:t>залежь</w:t>
            </w:r>
          </w:p>
        </w:tc>
        <w:tc>
          <w:tcPr>
            <w:tcW w:w="881" w:type="dxa"/>
            <w:tcBorders>
              <w:top w:val="single" w:sz="6" w:space="0" w:color="000000"/>
              <w:left w:val="single" w:sz="6" w:space="0" w:color="000000"/>
              <w:bottom w:val="single" w:sz="6" w:space="0" w:color="000000"/>
              <w:right w:val="single" w:sz="6" w:space="0" w:color="000000"/>
            </w:tcBorders>
            <w:textDirection w:val="btLr"/>
            <w:vAlign w:val="center"/>
          </w:tcPr>
          <w:p>
            <w:pPr>
              <w:pStyle w:val="Normal"/>
              <w:widowControl w:val="false"/>
              <w:spacing w:lineRule="auto" w:line="240" w:before="0" w:after="0"/>
              <w:ind w:left="113" w:right="113" w:hanging="0"/>
              <w:contextualSpacing/>
              <w:jc w:val="center"/>
              <w:rPr>
                <w:rFonts w:ascii="Times New Roman" w:hAnsi="Times New Roman" w:cs="Times New Roman"/>
                <w:color w:val="000000"/>
                <w:sz w:val="20"/>
                <w:szCs w:val="20"/>
              </w:rPr>
            </w:pPr>
            <w:r>
              <w:rPr>
                <w:rFonts w:cs="Times New Roman" w:ascii="Times New Roman" w:hAnsi="Times New Roman"/>
                <w:color w:val="000000"/>
                <w:sz w:val="20"/>
                <w:szCs w:val="20"/>
              </w:rPr>
              <w:t>многолетние насаждения</w:t>
            </w:r>
          </w:p>
        </w:tc>
        <w:tc>
          <w:tcPr>
            <w:tcW w:w="851" w:type="dxa"/>
            <w:tcBorders>
              <w:top w:val="single" w:sz="6" w:space="0" w:color="000000"/>
              <w:left w:val="single" w:sz="6" w:space="0" w:color="000000"/>
              <w:bottom w:val="single" w:sz="6" w:space="0" w:color="000000"/>
              <w:right w:val="single" w:sz="6" w:space="0" w:color="000000"/>
            </w:tcBorders>
            <w:textDirection w:val="btLr"/>
            <w:vAlign w:val="center"/>
          </w:tcPr>
          <w:p>
            <w:pPr>
              <w:pStyle w:val="Normal"/>
              <w:widowControl w:val="false"/>
              <w:spacing w:lineRule="auto" w:line="240" w:before="0" w:after="0"/>
              <w:ind w:left="113" w:right="113" w:hanging="0"/>
              <w:contextualSpacing/>
              <w:jc w:val="center"/>
              <w:rPr>
                <w:rFonts w:ascii="Times New Roman" w:hAnsi="Times New Roman" w:cs="Times New Roman"/>
                <w:color w:val="000000"/>
                <w:sz w:val="20"/>
                <w:szCs w:val="20"/>
              </w:rPr>
            </w:pPr>
            <w:r>
              <w:rPr>
                <w:rFonts w:cs="Times New Roman" w:ascii="Times New Roman" w:hAnsi="Times New Roman"/>
                <w:color w:val="000000"/>
                <w:sz w:val="20"/>
                <w:szCs w:val="20"/>
              </w:rPr>
              <w:t>сенокосы</w:t>
            </w:r>
          </w:p>
        </w:tc>
        <w:tc>
          <w:tcPr>
            <w:tcW w:w="849" w:type="dxa"/>
            <w:tcBorders>
              <w:top w:val="single" w:sz="6" w:space="0" w:color="000000"/>
              <w:left w:val="single" w:sz="6" w:space="0" w:color="000000"/>
              <w:bottom w:val="single" w:sz="6" w:space="0" w:color="000000"/>
              <w:right w:val="single" w:sz="6" w:space="0" w:color="000000"/>
            </w:tcBorders>
            <w:textDirection w:val="btLr"/>
            <w:vAlign w:val="center"/>
          </w:tcPr>
          <w:p>
            <w:pPr>
              <w:pStyle w:val="Normal"/>
              <w:widowControl w:val="false"/>
              <w:spacing w:lineRule="auto" w:line="240" w:before="0" w:after="0"/>
              <w:ind w:left="113" w:right="113" w:hanging="0"/>
              <w:contextualSpacing/>
              <w:jc w:val="center"/>
              <w:rPr>
                <w:rFonts w:ascii="Times New Roman" w:hAnsi="Times New Roman" w:cs="Times New Roman"/>
                <w:color w:val="000000"/>
                <w:sz w:val="20"/>
                <w:szCs w:val="20"/>
              </w:rPr>
            </w:pPr>
            <w:r>
              <w:rPr>
                <w:rFonts w:cs="Times New Roman" w:ascii="Times New Roman" w:hAnsi="Times New Roman"/>
                <w:color w:val="000000"/>
                <w:sz w:val="20"/>
                <w:szCs w:val="20"/>
              </w:rPr>
              <w:t>пастбища</w:t>
            </w:r>
          </w:p>
        </w:tc>
        <w:tc>
          <w:tcPr>
            <w:tcW w:w="851" w:type="dxa"/>
            <w:tcBorders>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992" w:type="dxa"/>
            <w:tcBorders>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850" w:type="dxa"/>
            <w:tcBorders>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847" w:type="dxa"/>
            <w:tcBorders>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902" w:type="dxa"/>
            <w:tcBorders>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798" w:type="dxa"/>
            <w:tcBorders>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850" w:type="dxa"/>
            <w:tcBorders>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857" w:type="dxa"/>
            <w:tcBorders>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r>
      <w:tr>
        <w:trPr>
          <w:trHeight w:val="283" w:hRule="atLeast"/>
        </w:trPr>
        <w:tc>
          <w:tcPr>
            <w:tcW w:w="4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1</w:t>
            </w:r>
          </w:p>
        </w:tc>
        <w:tc>
          <w:tcPr>
            <w:tcW w:w="19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2</w:t>
            </w:r>
          </w:p>
        </w:tc>
        <w:tc>
          <w:tcPr>
            <w:tcW w:w="99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3</w:t>
            </w:r>
          </w:p>
        </w:tc>
        <w:tc>
          <w:tcPr>
            <w:tcW w:w="75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4</w:t>
            </w:r>
          </w:p>
        </w:tc>
        <w:tc>
          <w:tcPr>
            <w:tcW w:w="825"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5</w:t>
            </w:r>
          </w:p>
        </w:tc>
        <w:tc>
          <w:tcPr>
            <w:tcW w:w="809"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6</w:t>
            </w:r>
          </w:p>
        </w:tc>
        <w:tc>
          <w:tcPr>
            <w:tcW w:w="88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7</w:t>
            </w:r>
          </w:p>
        </w:tc>
        <w:tc>
          <w:tcPr>
            <w:tcW w:w="85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8</w:t>
            </w:r>
          </w:p>
        </w:tc>
        <w:tc>
          <w:tcPr>
            <w:tcW w:w="849"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9</w:t>
            </w:r>
          </w:p>
        </w:tc>
        <w:tc>
          <w:tcPr>
            <w:tcW w:w="85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10</w:t>
            </w:r>
          </w:p>
        </w:tc>
        <w:tc>
          <w:tcPr>
            <w:tcW w:w="9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11</w:t>
            </w:r>
          </w:p>
        </w:tc>
        <w:tc>
          <w:tcPr>
            <w:tcW w:w="8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12</w:t>
            </w:r>
          </w:p>
        </w:tc>
        <w:tc>
          <w:tcPr>
            <w:tcW w:w="84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13</w:t>
            </w:r>
          </w:p>
        </w:tc>
        <w:tc>
          <w:tcPr>
            <w:tcW w:w="90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14</w:t>
            </w:r>
          </w:p>
        </w:tc>
        <w:tc>
          <w:tcPr>
            <w:tcW w:w="79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15</w:t>
            </w:r>
          </w:p>
        </w:tc>
        <w:tc>
          <w:tcPr>
            <w:tcW w:w="8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16</w:t>
            </w:r>
          </w:p>
        </w:tc>
        <w:tc>
          <w:tcPr>
            <w:tcW w:w="85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17</w:t>
            </w:r>
          </w:p>
        </w:tc>
      </w:tr>
      <w:tr>
        <w:trPr>
          <w:trHeight w:val="283" w:hRule="atLeast"/>
        </w:trPr>
        <w:tc>
          <w:tcPr>
            <w:tcW w:w="492"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w:t>
            </w:r>
          </w:p>
        </w:tc>
        <w:tc>
          <w:tcPr>
            <w:tcW w:w="1950"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Анучинский</w:t>
            </w:r>
          </w:p>
        </w:tc>
        <w:tc>
          <w:tcPr>
            <w:tcW w:w="990"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388,5</w:t>
            </w:r>
          </w:p>
        </w:tc>
        <w:tc>
          <w:tcPr>
            <w:tcW w:w="751"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34,2</w:t>
            </w:r>
          </w:p>
        </w:tc>
        <w:tc>
          <w:tcPr>
            <w:tcW w:w="825"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18,4</w:t>
            </w:r>
          </w:p>
        </w:tc>
        <w:tc>
          <w:tcPr>
            <w:tcW w:w="809"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w:t>
            </w:r>
          </w:p>
        </w:tc>
        <w:tc>
          <w:tcPr>
            <w:tcW w:w="881"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0,5</w:t>
            </w:r>
          </w:p>
        </w:tc>
        <w:tc>
          <w:tcPr>
            <w:tcW w:w="851"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5,8</w:t>
            </w:r>
          </w:p>
        </w:tc>
        <w:tc>
          <w:tcPr>
            <w:tcW w:w="849"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4,4</w:t>
            </w:r>
          </w:p>
        </w:tc>
        <w:tc>
          <w:tcPr>
            <w:tcW w:w="851"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339,8</w:t>
            </w:r>
          </w:p>
        </w:tc>
        <w:tc>
          <w:tcPr>
            <w:tcW w:w="992"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2,8</w:t>
            </w:r>
          </w:p>
        </w:tc>
        <w:tc>
          <w:tcPr>
            <w:tcW w:w="850"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2,1</w:t>
            </w:r>
          </w:p>
        </w:tc>
        <w:tc>
          <w:tcPr>
            <w:tcW w:w="847"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0,8</w:t>
            </w:r>
          </w:p>
        </w:tc>
        <w:tc>
          <w:tcPr>
            <w:tcW w:w="902"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4,9</w:t>
            </w:r>
          </w:p>
        </w:tc>
        <w:tc>
          <w:tcPr>
            <w:tcW w:w="798"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1,9</w:t>
            </w:r>
          </w:p>
        </w:tc>
        <w:tc>
          <w:tcPr>
            <w:tcW w:w="850"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7"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2,0</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Дальнереченский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723,6</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70,2</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31,3</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0,6</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19,8</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18,2</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574,1</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14,8</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4,5</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3,9</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5,1</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48,6</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Дальнегорский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534,2</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6,8</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0,8</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2,8</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1,3</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508,2</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0,4</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5,3</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3,3</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7,0</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Кавалеровский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421,5</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7,6</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2,6</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0,4</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2,7</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404,3</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0,6</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0,9</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2,5</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0,4</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3,7</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Кировский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348,4</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94,9</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45,0</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25,1</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24,3</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192,4</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11,1</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6,5</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3,5</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2,5</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34,0</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Красноармейский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2060,3</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53,6</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10,7</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3,2</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23,1</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16,2</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1904,0</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5,6</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12,9</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3,7</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7,1</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63,8</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2,7</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6,8</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Лазовский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469,2</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13,6</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7,1</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3,2</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3,1</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439,1</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4,2</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0,7</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0,8</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0,6</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8,2</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Лесозаводский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306,4</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71,6</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43,3</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16,7</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10,3</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142,9</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22,5</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6,4</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3,8</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3,1</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43,4</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12,1</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9</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Михайловский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274,1</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120,7</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74,4</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16,9</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29,0</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96,7</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35,2</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2,3</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2,0</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2,7</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1,3</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3,1</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10,0</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Надеждинский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159,6</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42,4</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10,9</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5,4</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11,8</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14,3</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93,8</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6,6</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5,0</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4,0</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4,1</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1,5</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1,9</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11</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Октябрьский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163,3</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87,5</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56,0</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7,7</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23,5</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15,1</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40,8</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1,5</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2,3</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0,9</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12,9</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Ольгинский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641,6</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16,1</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4,9</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5,7</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5,5</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590,2</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8,7</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3,2</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0,7</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2,1</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18,9</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13</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Партизанский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409,7</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23,6</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10,4</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3,4</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5,2</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4,6</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363,6</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10,1</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1,5</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3,1</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0,4</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5,7</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Пограничный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375,0</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89,9</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43,6</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16,1</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29,8</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198,5</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51,4</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3,4</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2,4</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14,6</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12,7</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15</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Пожарский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2257,0</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64,1</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5,1</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10,7</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0,9</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23,9</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23,5</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2032,5</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7,3</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14,7</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2,6</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4,5</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113,8</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4,4</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13,0</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Спасский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420,9</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124,4</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79,3</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3,3</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0,7</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17,8</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23,2</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182,8</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12,4</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6,2</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2,8</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7,1</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75,3</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0,6</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7,1</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Тернейский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2710,2</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17,7</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3,1</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8,8</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5,7</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2580,1</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15,9</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8,0</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3,0</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11,1</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73,5</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Уссурийский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345,3</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84,4</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47,9</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10,9</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24,4</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214,3</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26,5</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4,5</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2,5</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3,3</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0,9</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8,9</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19</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Ханкайский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268,9</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124,5</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59,3</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24,8</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17,1</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23,1</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95,7</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25,1</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6,0</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3,0</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3,3</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7,0</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4,0</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20</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Хасанский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413,0</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134,4</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2,4</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0,6</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0,4</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43,2</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87,9</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164,8</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56,2</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8,0</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4,7</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6,8</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18,5</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19,4</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21</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Хорольский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196,9</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142,2</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93,4</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22,7</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26,1</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22,5</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12,1</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3,6</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5,3</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3,6</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4,1</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Черниговский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184,0</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82,4</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41,1</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10,3</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0,4</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20,7</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10,0</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72,9</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7,4</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2,1</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3,2</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8,0</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5,4</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23</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Чугуевский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1234,7</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33,8</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18,1</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9,3</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6,3</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1169,0</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8,6</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3,0</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4,6</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5,5</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3,5</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6,6</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24</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Шкотовский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266,5</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22,9</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8,9</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5,7</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7,1</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227,6</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3,3</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4,3</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3,6</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0,8</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1,5</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25</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Яковлевский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240,0</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35,8</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19,2</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0,7</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8,9</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6,9</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182,7</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4,3</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2,1</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7,7</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4,3</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26</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г.Арсеньев</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3,9</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0,7</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0,4</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0,6</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1,3</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27</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г.Артем</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50,6</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14,3</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6,7</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2,5</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2,4</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2,6</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22,3</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0,6</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1,3</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8,5</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28</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г.Владивосток</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56,2</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3,5</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0,8</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35,5</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0,4</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12,1</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1,1</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0,5</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1,1</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29</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г.Дальнереченск</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10,8</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3,6</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0,5</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0,7</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1,9</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0,8</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2,1</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0,9</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0,7</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0,7</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30</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г.Находка</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36,0</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3,8</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0,9</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1,5</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0,5</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22,1</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0,6</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0,4</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7,8</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0,9</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31</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г.Спасск-Дальний</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4,3</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0,6</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0,5</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0,5</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1,3</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32</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г.Партизанск</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128,9</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11,0</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2,7</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0,9</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0,7</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2,0</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4,6</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104,3</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5,2</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0,9</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2,1</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3,5</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33</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г.Уссурийск</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17,3</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4,3</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0,7</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0,6</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5,6</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3,5</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2,0</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1,5</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34</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г.Фокино</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29,1</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3,4</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0,9</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1,9</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20,2</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0,7</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w:t>
            </w:r>
          </w:p>
        </w:tc>
      </w:tr>
      <w:tr>
        <w:trPr>
          <w:trHeight w:val="283" w:hRule="atLeast"/>
        </w:trPr>
        <w:tc>
          <w:tcPr>
            <w:tcW w:w="4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35</w:t>
            </w:r>
          </w:p>
        </w:tc>
        <w:tc>
          <w:tcPr>
            <w:tcW w:w="19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г.Большой Камень</w:t>
            </w:r>
          </w:p>
        </w:tc>
        <w:tc>
          <w:tcPr>
            <w:tcW w:w="99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12,0</w:t>
            </w:r>
          </w:p>
        </w:tc>
        <w:tc>
          <w:tcPr>
            <w:tcW w:w="7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3,9</w:t>
            </w:r>
          </w:p>
        </w:tc>
        <w:tc>
          <w:tcPr>
            <w:tcW w:w="82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w:t>
            </w:r>
          </w:p>
        </w:tc>
        <w:tc>
          <w:tcPr>
            <w:tcW w:w="80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 </w:t>
            </w:r>
            <w:r>
              <w:rPr>
                <w:rFonts w:cs="Times New Roman" w:ascii="Times New Roman" w:hAnsi="Times New Roman"/>
                <w:color w:val="000000"/>
              </w:rPr>
              <w:t>-</w:t>
            </w:r>
          </w:p>
        </w:tc>
        <w:tc>
          <w:tcPr>
            <w:tcW w:w="88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1,1</w:t>
            </w:r>
          </w:p>
        </w:tc>
        <w:tc>
          <w:tcPr>
            <w:tcW w:w="849"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w:t>
            </w:r>
          </w:p>
        </w:tc>
        <w:tc>
          <w:tcPr>
            <w:tcW w:w="851"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5,3</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0,9</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4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0,9</w:t>
            </w:r>
          </w:p>
        </w:tc>
        <w:tc>
          <w:tcPr>
            <w:tcW w:w="90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0,5</w:t>
            </w:r>
          </w:p>
        </w:tc>
        <w:tc>
          <w:tcPr>
            <w:tcW w:w="79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7"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r>
      <w:tr>
        <w:trPr>
          <w:trHeight w:val="283" w:hRule="atLeast"/>
        </w:trPr>
        <w:tc>
          <w:tcPr>
            <w:tcW w:w="492"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36</w:t>
            </w:r>
          </w:p>
        </w:tc>
        <w:tc>
          <w:tcPr>
            <w:tcW w:w="1950"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оз . Ханка</w:t>
            </w:r>
          </w:p>
        </w:tc>
        <w:tc>
          <w:tcPr>
            <w:tcW w:w="990"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305,2</w:t>
            </w:r>
          </w:p>
        </w:tc>
        <w:tc>
          <w:tcPr>
            <w:tcW w:w="751"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25"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09"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81"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1"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49"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1"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992"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0"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305,2</w:t>
            </w:r>
          </w:p>
        </w:tc>
        <w:tc>
          <w:tcPr>
            <w:tcW w:w="847"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902"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798"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0"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857"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r>
      <w:tr>
        <w:trPr>
          <w:trHeight w:val="283" w:hRule="atLeast"/>
        </w:trPr>
        <w:tc>
          <w:tcPr>
            <w:tcW w:w="4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r>
          </w:p>
        </w:tc>
        <w:tc>
          <w:tcPr>
            <w:tcW w:w="19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ascii="Times New Roman" w:hAnsi="Times New Roman" w:cs="Times New Roman"/>
                <w:b/>
                <w:b/>
                <w:color w:val="000000"/>
              </w:rPr>
            </w:pPr>
            <w:r>
              <w:rPr>
                <w:rFonts w:cs="Times New Roman" w:ascii="Times New Roman" w:hAnsi="Times New Roman"/>
                <w:b/>
                <w:color w:val="000000"/>
              </w:rPr>
              <w:t>Итого земель</w:t>
            </w:r>
          </w:p>
        </w:tc>
        <w:tc>
          <w:tcPr>
            <w:tcW w:w="99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16467,3</w:t>
            </w:r>
          </w:p>
        </w:tc>
        <w:tc>
          <w:tcPr>
            <w:tcW w:w="75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1648,8</w:t>
            </w:r>
          </w:p>
        </w:tc>
        <w:tc>
          <w:tcPr>
            <w:tcW w:w="825"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754,8</w:t>
            </w:r>
          </w:p>
        </w:tc>
        <w:tc>
          <w:tcPr>
            <w:tcW w:w="809"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60,8</w:t>
            </w:r>
          </w:p>
        </w:tc>
        <w:tc>
          <w:tcPr>
            <w:tcW w:w="88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25,9</w:t>
            </w:r>
          </w:p>
        </w:tc>
        <w:tc>
          <w:tcPr>
            <w:tcW w:w="85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361,4</w:t>
            </w:r>
          </w:p>
        </w:tc>
        <w:tc>
          <w:tcPr>
            <w:tcW w:w="849"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445,9</w:t>
            </w:r>
          </w:p>
        </w:tc>
        <w:tc>
          <w:tcPr>
            <w:tcW w:w="85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13024,0</w:t>
            </w:r>
          </w:p>
        </w:tc>
        <w:tc>
          <w:tcPr>
            <w:tcW w:w="9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407,8</w:t>
            </w:r>
          </w:p>
        </w:tc>
        <w:tc>
          <w:tcPr>
            <w:tcW w:w="8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424,6</w:t>
            </w:r>
          </w:p>
        </w:tc>
        <w:tc>
          <w:tcPr>
            <w:tcW w:w="84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110,1</w:t>
            </w:r>
          </w:p>
        </w:tc>
        <w:tc>
          <w:tcPr>
            <w:tcW w:w="90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101,4</w:t>
            </w:r>
          </w:p>
        </w:tc>
        <w:tc>
          <w:tcPr>
            <w:tcW w:w="79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466,7</w:t>
            </w:r>
          </w:p>
        </w:tc>
        <w:tc>
          <w:tcPr>
            <w:tcW w:w="8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16,8</w:t>
            </w:r>
          </w:p>
        </w:tc>
        <w:tc>
          <w:tcPr>
            <w:tcW w:w="85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262,4</w:t>
            </w:r>
          </w:p>
        </w:tc>
      </w:tr>
    </w:tbl>
    <w:p>
      <w:pPr>
        <w:sectPr>
          <w:headerReference w:type="default" r:id="rId117"/>
          <w:footerReference w:type="default" r:id="rId118"/>
          <w:type w:val="nextPage"/>
          <w:pgSz w:orient="landscape" w:w="16838" w:h="11906"/>
          <w:pgMar w:left="1134" w:right="1134" w:gutter="0" w:header="709" w:top="1701" w:footer="709" w:bottom="851"/>
          <w:pgNumType w:fmt="decimal"/>
          <w:formProt w:val="false"/>
          <w:textDirection w:val="lrTb"/>
          <w:docGrid w:type="default" w:linePitch="100" w:charSpace="4096"/>
        </w:sectPr>
        <w:pStyle w:val="Normal"/>
        <w:rPr/>
      </w:pPr>
      <w:r>
        <w:rPr/>
      </w:r>
    </w:p>
    <w:p>
      <w:pPr>
        <w:pStyle w:val="Normal"/>
        <w:jc w:val="right"/>
        <w:rPr>
          <w:rFonts w:ascii="Times New Roman" w:hAnsi="Times New Roman" w:cs="Times New Roman"/>
          <w:sz w:val="28"/>
          <w:szCs w:val="28"/>
        </w:rPr>
      </w:pPr>
      <w:r>
        <w:rPr>
          <w:rFonts w:cs="Times New Roman" w:ascii="Times New Roman" w:hAnsi="Times New Roman"/>
          <w:sz w:val="28"/>
          <w:szCs w:val="28"/>
        </w:rPr>
        <w:t>Приложение № 3</w:t>
      </w:r>
    </w:p>
    <w:p>
      <w:pPr>
        <w:pStyle w:val="Normal"/>
        <w:spacing w:lineRule="auto" w:line="240" w:before="0" w:after="200"/>
        <w:contextualSpacing/>
        <w:jc w:val="center"/>
        <w:rPr>
          <w:rFonts w:ascii="Times New Roman" w:hAnsi="Times New Roman" w:cs="Times New Roman"/>
          <w:b/>
          <w:b/>
          <w:sz w:val="24"/>
          <w:szCs w:val="24"/>
        </w:rPr>
      </w:pPr>
      <w:r>
        <w:rPr>
          <w:rFonts w:cs="Times New Roman" w:ascii="Times New Roman" w:hAnsi="Times New Roman"/>
          <w:b/>
          <w:sz w:val="24"/>
          <w:szCs w:val="24"/>
        </w:rPr>
        <w:t>Распределение земель Приморского края по формам собственности</w:t>
      </w:r>
    </w:p>
    <w:p>
      <w:pPr>
        <w:pStyle w:val="Normal"/>
        <w:spacing w:lineRule="auto" w:line="240" w:before="0" w:after="200"/>
        <w:contextualSpacing/>
        <w:jc w:val="center"/>
        <w:rPr>
          <w:rFonts w:ascii="Times New Roman" w:hAnsi="Times New Roman" w:cs="Times New Roman"/>
          <w:b/>
          <w:b/>
          <w:sz w:val="24"/>
          <w:szCs w:val="24"/>
        </w:rPr>
      </w:pPr>
      <w:r>
        <w:rPr>
          <w:rFonts w:cs="Times New Roman" w:ascii="Times New Roman" w:hAnsi="Times New Roman"/>
          <w:b/>
          <w:sz w:val="24"/>
          <w:szCs w:val="24"/>
        </w:rPr>
        <w:t>в разрезе муниципальных образований Приморского края (на 01.01.2017, тыс. га)</w:t>
      </w:r>
    </w:p>
    <w:tbl>
      <w:tblPr>
        <w:tblW w:w="16005" w:type="dxa"/>
        <w:jc w:val="left"/>
        <w:tblInd w:w="0" w:type="dxa"/>
        <w:tblLayout w:type="fixed"/>
        <w:tblCellMar>
          <w:top w:w="0" w:type="dxa"/>
          <w:left w:w="30" w:type="dxa"/>
          <w:bottom w:w="0" w:type="dxa"/>
          <w:right w:w="30" w:type="dxa"/>
        </w:tblCellMar>
        <w:tblLook w:val="04a0" w:noHBand="0" w:noVBand="1" w:firstColumn="1" w:lastRow="0" w:lastColumn="0" w:firstRow="1"/>
      </w:tblPr>
      <w:tblGrid>
        <w:gridCol w:w="588"/>
        <w:gridCol w:w="1854"/>
        <w:gridCol w:w="992"/>
        <w:gridCol w:w="850"/>
        <w:gridCol w:w="1135"/>
        <w:gridCol w:w="1415"/>
        <w:gridCol w:w="992"/>
        <w:gridCol w:w="1135"/>
        <w:gridCol w:w="992"/>
        <w:gridCol w:w="1092"/>
        <w:gridCol w:w="992"/>
        <w:gridCol w:w="992"/>
        <w:gridCol w:w="991"/>
        <w:gridCol w:w="992"/>
        <w:gridCol w:w="993"/>
      </w:tblGrid>
      <w:tr>
        <w:trPr>
          <w:trHeight w:val="766" w:hRule="atLeast"/>
          <w:cantSplit w:val="true"/>
        </w:trPr>
        <w:tc>
          <w:tcPr>
            <w:tcW w:w="588" w:type="dxa"/>
            <w:tcBorders>
              <w:top w:val="single" w:sz="6" w:space="0" w:color="000000"/>
              <w:left w:val="single" w:sz="6" w:space="0" w:color="000000"/>
              <w:right w:val="single" w:sz="6" w:space="0" w:color="000000"/>
            </w:tcBorders>
            <w:vAlign w:val="center"/>
          </w:tcPr>
          <w:p>
            <w:pPr>
              <w:pStyle w:val="Normal"/>
              <w:widowControl w:val="false"/>
              <w:spacing w:lineRule="auto" w:line="240" w:before="0" w:after="0"/>
              <w:jc w:val="center"/>
              <w:rPr>
                <w:rFonts w:ascii="Times New Roman" w:hAnsi="Times New Roman" w:cs="Times New Roman"/>
                <w:color w:val="000000"/>
                <w:sz w:val="18"/>
                <w:szCs w:val="18"/>
              </w:rPr>
            </w:pPr>
            <w:r>
              <w:rPr>
                <w:rFonts w:cs="Times New Roman" w:ascii="Times New Roman" w:hAnsi="Times New Roman"/>
                <w:color w:val="000000"/>
                <w:sz w:val="18"/>
                <w:szCs w:val="18"/>
              </w:rPr>
              <w:t xml:space="preserve">№ </w:t>
            </w:r>
            <w:r>
              <w:rPr>
                <w:rFonts w:cs="Times New Roman" w:ascii="Times New Roman" w:hAnsi="Times New Roman"/>
                <w:color w:val="000000"/>
                <w:sz w:val="18"/>
                <w:szCs w:val="18"/>
              </w:rPr>
              <w:t>п/п</w:t>
            </w:r>
          </w:p>
        </w:tc>
        <w:tc>
          <w:tcPr>
            <w:tcW w:w="1854" w:type="dxa"/>
            <w:tcBorders>
              <w:top w:val="single" w:sz="6" w:space="0" w:color="000000"/>
              <w:left w:val="single" w:sz="6" w:space="0" w:color="000000"/>
              <w:right w:val="single" w:sz="6" w:space="0" w:color="000000"/>
            </w:tcBorders>
            <w:vAlign w:val="center"/>
          </w:tcPr>
          <w:p>
            <w:pPr>
              <w:pStyle w:val="Normal"/>
              <w:widowControl w:val="false"/>
              <w:spacing w:lineRule="auto" w:line="240" w:before="0" w:after="0"/>
              <w:jc w:val="center"/>
              <w:rPr>
                <w:rFonts w:ascii="Times New Roman" w:hAnsi="Times New Roman" w:cs="Times New Roman"/>
                <w:color w:val="000000"/>
                <w:sz w:val="18"/>
                <w:szCs w:val="18"/>
              </w:rPr>
            </w:pPr>
            <w:r>
              <w:rPr>
                <w:rFonts w:cs="Times New Roman" w:ascii="Times New Roman" w:hAnsi="Times New Roman"/>
                <w:color w:val="000000"/>
                <w:sz w:val="18"/>
                <w:szCs w:val="18"/>
              </w:rPr>
              <w:t>Муниципальное</w:t>
            </w:r>
          </w:p>
          <w:p>
            <w:pPr>
              <w:pStyle w:val="Normal"/>
              <w:widowControl w:val="false"/>
              <w:spacing w:lineRule="auto" w:line="240" w:before="0" w:after="0"/>
              <w:jc w:val="center"/>
              <w:rPr>
                <w:rFonts w:ascii="Times New Roman" w:hAnsi="Times New Roman" w:cs="Times New Roman"/>
                <w:color w:val="000000"/>
                <w:sz w:val="18"/>
                <w:szCs w:val="18"/>
              </w:rPr>
            </w:pPr>
            <w:r>
              <w:rPr>
                <w:rFonts w:cs="Times New Roman" w:ascii="Times New Roman" w:hAnsi="Times New Roman"/>
                <w:color w:val="000000"/>
                <w:sz w:val="18"/>
                <w:szCs w:val="18"/>
              </w:rPr>
              <w:t>образование</w:t>
            </w:r>
          </w:p>
        </w:tc>
        <w:tc>
          <w:tcPr>
            <w:tcW w:w="992" w:type="dxa"/>
            <w:tcBorders>
              <w:top w:val="single" w:sz="6" w:space="0" w:color="000000"/>
              <w:left w:val="single" w:sz="6" w:space="0" w:color="000000"/>
              <w:right w:val="single" w:sz="6" w:space="0" w:color="000000"/>
            </w:tcBorders>
            <w:vAlign w:val="center"/>
          </w:tcPr>
          <w:p>
            <w:pPr>
              <w:pStyle w:val="Normal"/>
              <w:widowControl w:val="false"/>
              <w:spacing w:lineRule="auto" w:line="240" w:before="0" w:after="0"/>
              <w:jc w:val="center"/>
              <w:rPr>
                <w:rFonts w:ascii="Times New Roman" w:hAnsi="Times New Roman" w:cs="Times New Roman"/>
                <w:color w:val="000000"/>
                <w:sz w:val="18"/>
                <w:szCs w:val="18"/>
              </w:rPr>
            </w:pPr>
            <w:r>
              <w:rPr>
                <w:rFonts w:cs="Times New Roman" w:ascii="Times New Roman" w:hAnsi="Times New Roman"/>
                <w:color w:val="000000"/>
                <w:sz w:val="18"/>
                <w:szCs w:val="18"/>
              </w:rPr>
              <w:t>Общая площадь</w:t>
            </w:r>
          </w:p>
        </w:tc>
        <w:tc>
          <w:tcPr>
            <w:tcW w:w="850" w:type="dxa"/>
            <w:tcBorders>
              <w:top w:val="single" w:sz="6" w:space="0" w:color="000000"/>
              <w:left w:val="single" w:sz="6" w:space="0" w:color="000000"/>
              <w:right w:val="single" w:sz="6" w:space="0" w:color="000000"/>
            </w:tcBorders>
            <w:vAlign w:val="center"/>
          </w:tcPr>
          <w:p>
            <w:pPr>
              <w:pStyle w:val="Normal"/>
              <w:widowControl w:val="false"/>
              <w:spacing w:lineRule="auto" w:line="240" w:before="0" w:after="0"/>
              <w:jc w:val="center"/>
              <w:rPr>
                <w:rFonts w:ascii="Times New Roman" w:hAnsi="Times New Roman" w:cs="Times New Roman"/>
                <w:color w:val="000000"/>
                <w:sz w:val="18"/>
                <w:szCs w:val="18"/>
              </w:rPr>
            </w:pPr>
            <w:r>
              <w:rPr>
                <w:rFonts w:cs="Times New Roman" w:ascii="Times New Roman" w:hAnsi="Times New Roman"/>
                <w:color w:val="000000"/>
                <w:sz w:val="18"/>
                <w:szCs w:val="18"/>
              </w:rPr>
              <w:t>В собствен-ности граждан</w:t>
            </w:r>
          </w:p>
        </w:tc>
        <w:tc>
          <w:tcPr>
            <w:tcW w:w="1135" w:type="dxa"/>
            <w:tcBorders>
              <w:top w:val="single" w:sz="6" w:space="0" w:color="000000"/>
              <w:left w:val="single" w:sz="6" w:space="0" w:color="000000"/>
              <w:right w:val="single" w:sz="6" w:space="0" w:color="000000"/>
            </w:tcBorders>
            <w:vAlign w:val="center"/>
          </w:tcPr>
          <w:p>
            <w:pPr>
              <w:pStyle w:val="Normal"/>
              <w:widowControl w:val="false"/>
              <w:spacing w:lineRule="auto" w:line="240" w:before="0" w:after="0"/>
              <w:jc w:val="center"/>
              <w:rPr>
                <w:rFonts w:ascii="Times New Roman" w:hAnsi="Times New Roman" w:cs="Times New Roman"/>
                <w:color w:val="000000"/>
                <w:sz w:val="18"/>
                <w:szCs w:val="18"/>
              </w:rPr>
            </w:pPr>
            <w:r>
              <w:rPr>
                <w:rFonts w:cs="Times New Roman" w:ascii="Times New Roman" w:hAnsi="Times New Roman"/>
                <w:color w:val="000000"/>
                <w:sz w:val="18"/>
                <w:szCs w:val="18"/>
              </w:rPr>
              <w:t>В собствен-ности юридических лиц</w:t>
            </w:r>
          </w:p>
        </w:tc>
        <w:tc>
          <w:tcPr>
            <w:tcW w:w="1415" w:type="dxa"/>
            <w:tcBorders>
              <w:top w:val="single" w:sz="6" w:space="0" w:color="000000"/>
              <w:left w:val="single" w:sz="6" w:space="0" w:color="000000"/>
              <w:right w:val="single" w:sz="6" w:space="0" w:color="000000"/>
            </w:tcBorders>
            <w:vAlign w:val="center"/>
          </w:tcPr>
          <w:p>
            <w:pPr>
              <w:pStyle w:val="Normal"/>
              <w:widowControl w:val="false"/>
              <w:spacing w:lineRule="auto" w:line="240" w:before="0" w:after="0"/>
              <w:jc w:val="center"/>
              <w:rPr>
                <w:rFonts w:ascii="Times New Roman" w:hAnsi="Times New Roman" w:cs="Times New Roman"/>
                <w:color w:val="000000"/>
                <w:sz w:val="18"/>
                <w:szCs w:val="18"/>
              </w:rPr>
            </w:pPr>
            <w:r>
              <w:rPr>
                <w:rFonts w:cs="Times New Roman" w:ascii="Times New Roman" w:hAnsi="Times New Roman"/>
                <w:color w:val="000000"/>
                <w:sz w:val="18"/>
                <w:szCs w:val="18"/>
              </w:rPr>
              <w:t>В государствен-ной и муниципальной собственности</w:t>
            </w:r>
          </w:p>
        </w:tc>
        <w:tc>
          <w:tcPr>
            <w:tcW w:w="992" w:type="dxa"/>
            <w:tcBorders>
              <w:top w:val="single" w:sz="6" w:space="0" w:color="000000"/>
              <w:left w:val="single" w:sz="6" w:space="0" w:color="000000"/>
              <w:bottom w:val="single" w:sz="6" w:space="0" w:color="000000"/>
            </w:tcBorders>
            <w:vAlign w:val="center"/>
          </w:tcPr>
          <w:p>
            <w:pPr>
              <w:pStyle w:val="Normal"/>
              <w:widowControl w:val="false"/>
              <w:spacing w:lineRule="auto" w:line="240" w:before="0" w:after="0"/>
              <w:jc w:val="center"/>
              <w:rPr>
                <w:rFonts w:ascii="Times New Roman" w:hAnsi="Times New Roman" w:cs="Times New Roman"/>
                <w:color w:val="000000"/>
                <w:sz w:val="18"/>
                <w:szCs w:val="18"/>
              </w:rPr>
            </w:pPr>
            <w:r>
              <w:rPr>
                <w:rFonts w:cs="Times New Roman" w:ascii="Times New Roman" w:hAnsi="Times New Roman"/>
                <w:color w:val="000000"/>
                <w:sz w:val="18"/>
                <w:szCs w:val="18"/>
              </w:rPr>
              <w:t>из них</w:t>
            </w:r>
          </w:p>
        </w:tc>
        <w:tc>
          <w:tcPr>
            <w:tcW w:w="1135" w:type="dxa"/>
            <w:tcBorders>
              <w:top w:val="single" w:sz="6" w:space="0" w:color="000000"/>
              <w:bottom w:val="single" w:sz="6" w:space="0" w:color="000000"/>
            </w:tcBorders>
            <w:vAlign w:val="center"/>
          </w:tcPr>
          <w:p>
            <w:pPr>
              <w:pStyle w:val="Normal"/>
              <w:widowControl w:val="false"/>
              <w:spacing w:lineRule="auto" w:line="240" w:before="0" w:after="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992" w:type="dxa"/>
            <w:tcBorders>
              <w:top w:val="single" w:sz="6" w:space="0" w:color="000000"/>
              <w:bottom w:val="single" w:sz="6" w:space="0" w:color="000000"/>
              <w:right w:val="single" w:sz="6" w:space="0" w:color="000000"/>
            </w:tcBorders>
            <w:vAlign w:val="center"/>
          </w:tcPr>
          <w:p>
            <w:pPr>
              <w:pStyle w:val="Normal"/>
              <w:widowControl w:val="false"/>
              <w:spacing w:lineRule="auto" w:line="240" w:before="0" w:after="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763" w:hRule="atLeast"/>
          <w:cantSplit w:val="true"/>
        </w:trPr>
        <w:tc>
          <w:tcPr>
            <w:tcW w:w="588" w:type="dxa"/>
            <w:tcBorders>
              <w:left w:val="single" w:sz="6" w:space="0" w:color="000000"/>
              <w:bottom w:val="single" w:sz="6" w:space="0" w:color="000000"/>
              <w:right w:val="single" w:sz="6" w:space="0" w:color="000000"/>
            </w:tcBorders>
            <w:textDirection w:val="btLr"/>
            <w:vAlign w:val="center"/>
          </w:tcPr>
          <w:p>
            <w:pPr>
              <w:pStyle w:val="Normal"/>
              <w:widowControl w:val="false"/>
              <w:spacing w:lineRule="auto" w:line="240" w:before="0" w:after="0"/>
              <w:ind w:left="113" w:right="113"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1854" w:type="dxa"/>
            <w:tcBorders>
              <w:left w:val="single" w:sz="6" w:space="0" w:color="000000"/>
              <w:bottom w:val="single" w:sz="6" w:space="0" w:color="000000"/>
              <w:right w:val="single" w:sz="6" w:space="0" w:color="000000"/>
            </w:tcBorders>
            <w:textDirection w:val="btLr"/>
            <w:vAlign w:val="center"/>
          </w:tcPr>
          <w:p>
            <w:pPr>
              <w:pStyle w:val="Normal"/>
              <w:widowControl w:val="false"/>
              <w:spacing w:lineRule="auto" w:line="240" w:before="0" w:after="0"/>
              <w:ind w:left="113" w:right="113"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992" w:type="dxa"/>
            <w:tcBorders>
              <w:left w:val="single" w:sz="6" w:space="0" w:color="000000"/>
              <w:bottom w:val="single" w:sz="6" w:space="0" w:color="000000"/>
              <w:right w:val="single" w:sz="6" w:space="0" w:color="000000"/>
            </w:tcBorders>
            <w:textDirection w:val="btLr"/>
            <w:vAlign w:val="center"/>
          </w:tcPr>
          <w:p>
            <w:pPr>
              <w:pStyle w:val="Normal"/>
              <w:widowControl w:val="false"/>
              <w:spacing w:lineRule="auto" w:line="240" w:before="0" w:after="0"/>
              <w:ind w:left="113" w:right="113"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850" w:type="dxa"/>
            <w:tcBorders>
              <w:left w:val="single" w:sz="6" w:space="0" w:color="000000"/>
              <w:bottom w:val="single" w:sz="6" w:space="0" w:color="000000"/>
              <w:right w:val="single" w:sz="6" w:space="0" w:color="000000"/>
            </w:tcBorders>
            <w:textDirection w:val="btLr"/>
            <w:vAlign w:val="center"/>
          </w:tcPr>
          <w:p>
            <w:pPr>
              <w:pStyle w:val="Normal"/>
              <w:widowControl w:val="false"/>
              <w:spacing w:lineRule="auto" w:line="240" w:before="0" w:after="0"/>
              <w:ind w:left="113" w:right="113"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1135" w:type="dxa"/>
            <w:tcBorders>
              <w:left w:val="single" w:sz="6" w:space="0" w:color="000000"/>
              <w:bottom w:val="single" w:sz="6" w:space="0" w:color="000000"/>
              <w:right w:val="single" w:sz="6" w:space="0" w:color="000000"/>
            </w:tcBorders>
            <w:textDirection w:val="btLr"/>
            <w:vAlign w:val="center"/>
          </w:tcPr>
          <w:p>
            <w:pPr>
              <w:pStyle w:val="Normal"/>
              <w:widowControl w:val="false"/>
              <w:spacing w:lineRule="auto" w:line="240" w:before="0" w:after="0"/>
              <w:ind w:left="113" w:right="113"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1415" w:type="dxa"/>
            <w:tcBorders>
              <w:left w:val="single" w:sz="6" w:space="0" w:color="000000"/>
              <w:bottom w:val="single" w:sz="6" w:space="0" w:color="000000"/>
              <w:right w:val="single" w:sz="6" w:space="0" w:color="000000"/>
            </w:tcBorders>
            <w:textDirection w:val="btLr"/>
            <w:vAlign w:val="center"/>
          </w:tcPr>
          <w:p>
            <w:pPr>
              <w:pStyle w:val="Normal"/>
              <w:widowControl w:val="false"/>
              <w:spacing w:lineRule="auto" w:line="240" w:before="0" w:after="0"/>
              <w:ind w:left="113" w:right="113"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9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0"/>
              <w:jc w:val="center"/>
              <w:rPr>
                <w:rFonts w:ascii="Times New Roman" w:hAnsi="Times New Roman" w:cs="Times New Roman"/>
                <w:color w:val="000000"/>
                <w:sz w:val="18"/>
                <w:szCs w:val="18"/>
              </w:rPr>
            </w:pPr>
            <w:r>
              <w:rPr>
                <w:rFonts w:cs="Times New Roman" w:ascii="Times New Roman" w:hAnsi="Times New Roman"/>
                <w:color w:val="000000"/>
                <w:sz w:val="18"/>
                <w:szCs w:val="18"/>
              </w:rPr>
              <w:t>в собствен-ности Российской Федерации</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0"/>
              <w:jc w:val="center"/>
              <w:rPr>
                <w:rFonts w:ascii="Times New Roman" w:hAnsi="Times New Roman" w:cs="Times New Roman"/>
                <w:color w:val="000000"/>
                <w:sz w:val="18"/>
                <w:szCs w:val="18"/>
              </w:rPr>
            </w:pPr>
            <w:r>
              <w:rPr>
                <w:rFonts w:cs="Times New Roman" w:ascii="Times New Roman" w:hAnsi="Times New Roman"/>
                <w:color w:val="000000"/>
                <w:sz w:val="18"/>
                <w:szCs w:val="18"/>
              </w:rPr>
              <w:t>в собствен-ности субъекта Российской Федерации</w:t>
            </w:r>
          </w:p>
        </w:tc>
        <w:tc>
          <w:tcPr>
            <w:tcW w:w="9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0"/>
              <w:jc w:val="center"/>
              <w:rPr>
                <w:rFonts w:ascii="Times New Roman" w:hAnsi="Times New Roman" w:cs="Times New Roman"/>
                <w:color w:val="000000"/>
                <w:sz w:val="18"/>
                <w:szCs w:val="18"/>
              </w:rPr>
            </w:pPr>
            <w:r>
              <w:rPr>
                <w:rFonts w:cs="Times New Roman" w:ascii="Times New Roman" w:hAnsi="Times New Roman"/>
                <w:color w:val="000000"/>
                <w:sz w:val="18"/>
                <w:szCs w:val="18"/>
              </w:rPr>
              <w:t>в муниципа-льной собствен-ности</w:t>
            </w:r>
          </w:p>
        </w:tc>
        <w:tc>
          <w:tcPr>
            <w:tcW w:w="1092" w:type="dxa"/>
            <w:tcBorders/>
            <w:textDirection w:val="btLr"/>
            <w:vAlign w:val="center"/>
          </w:tcPr>
          <w:p>
            <w:pPr>
              <w:pStyle w:val="Normal"/>
              <w:widowControl w:val="false"/>
              <w:spacing w:lineRule="auto" w:line="240" w:before="0" w:after="0"/>
              <w:ind w:left="113" w:right="113"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t>№№</w:t>
            </w:r>
            <w:r>
              <w:rPr>
                <w:rFonts w:cs="Times New Roman" w:ascii="Times New Roman" w:hAnsi="Times New Roman"/>
                <w:color w:val="000000"/>
                <w:sz w:val="18"/>
                <w:szCs w:val="18"/>
              </w:rPr>
              <w:t>п/п</w:t>
            </w:r>
          </w:p>
        </w:tc>
        <w:tc>
          <w:tcPr>
            <w:tcW w:w="992" w:type="dxa"/>
            <w:tcBorders/>
            <w:textDirection w:val="btLr"/>
            <w:vAlign w:val="center"/>
          </w:tcPr>
          <w:p>
            <w:pPr>
              <w:pStyle w:val="Normal"/>
              <w:widowControl w:val="false"/>
              <w:spacing w:lineRule="auto" w:line="240" w:before="0" w:after="0"/>
              <w:ind w:left="113" w:right="113"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t>Муниципальные образования</w:t>
            </w:r>
          </w:p>
        </w:tc>
        <w:tc>
          <w:tcPr>
            <w:tcW w:w="992" w:type="dxa"/>
            <w:tcBorders/>
            <w:textDirection w:val="btLr"/>
            <w:vAlign w:val="center"/>
          </w:tcPr>
          <w:p>
            <w:pPr>
              <w:pStyle w:val="Normal"/>
              <w:widowControl w:val="false"/>
              <w:spacing w:lineRule="auto" w:line="240" w:before="0" w:after="0"/>
              <w:ind w:left="113" w:right="113"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t>Общая площадь</w:t>
            </w:r>
          </w:p>
        </w:tc>
        <w:tc>
          <w:tcPr>
            <w:tcW w:w="991" w:type="dxa"/>
            <w:tcBorders/>
            <w:textDirection w:val="btLr"/>
            <w:vAlign w:val="center"/>
          </w:tcPr>
          <w:p>
            <w:pPr>
              <w:pStyle w:val="Normal"/>
              <w:widowControl w:val="false"/>
              <w:spacing w:lineRule="auto" w:line="240" w:before="0" w:after="0"/>
              <w:ind w:left="113" w:right="113"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t>В собственности граждан</w:t>
            </w:r>
          </w:p>
        </w:tc>
        <w:tc>
          <w:tcPr>
            <w:tcW w:w="992" w:type="dxa"/>
            <w:tcBorders/>
            <w:textDirection w:val="btLr"/>
            <w:vAlign w:val="center"/>
          </w:tcPr>
          <w:p>
            <w:pPr>
              <w:pStyle w:val="Normal"/>
              <w:widowControl w:val="false"/>
              <w:spacing w:lineRule="auto" w:line="240" w:before="0" w:after="0"/>
              <w:ind w:left="113" w:right="113"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t>В собствен-ности юриди-ческих лиц</w:t>
            </w:r>
          </w:p>
        </w:tc>
        <w:tc>
          <w:tcPr>
            <w:tcW w:w="993" w:type="dxa"/>
            <w:tcBorders/>
            <w:textDirection w:val="btLr"/>
            <w:vAlign w:val="center"/>
          </w:tcPr>
          <w:p>
            <w:pPr>
              <w:pStyle w:val="Normal"/>
              <w:widowControl w:val="false"/>
              <w:spacing w:lineRule="auto" w:line="240" w:before="0" w:after="0"/>
              <w:ind w:left="113" w:right="113"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t>В государст-венной и муни-ципальной собственности</w:t>
            </w:r>
          </w:p>
        </w:tc>
      </w:tr>
      <w:tr>
        <w:trPr>
          <w:trHeight w:val="141" w:hRule="atLeast"/>
        </w:trPr>
        <w:tc>
          <w:tcPr>
            <w:tcW w:w="58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1</w:t>
            </w:r>
          </w:p>
        </w:tc>
        <w:tc>
          <w:tcPr>
            <w:tcW w:w="1854"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2</w:t>
            </w:r>
          </w:p>
        </w:tc>
        <w:tc>
          <w:tcPr>
            <w:tcW w:w="9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3</w:t>
            </w:r>
          </w:p>
        </w:tc>
        <w:tc>
          <w:tcPr>
            <w:tcW w:w="8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4</w:t>
            </w:r>
          </w:p>
        </w:tc>
        <w:tc>
          <w:tcPr>
            <w:tcW w:w="1135"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5</w:t>
            </w:r>
          </w:p>
        </w:tc>
        <w:tc>
          <w:tcPr>
            <w:tcW w:w="1415"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6</w:t>
            </w:r>
          </w:p>
        </w:tc>
        <w:tc>
          <w:tcPr>
            <w:tcW w:w="9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7</w:t>
            </w:r>
          </w:p>
        </w:tc>
        <w:tc>
          <w:tcPr>
            <w:tcW w:w="1135"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8</w:t>
            </w:r>
          </w:p>
        </w:tc>
        <w:tc>
          <w:tcPr>
            <w:tcW w:w="9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cs="Times New Roman"/>
                <w:color w:val="000000"/>
              </w:rPr>
            </w:pPr>
            <w:r>
              <w:rPr>
                <w:rFonts w:cs="Times New Roman" w:ascii="Times New Roman" w:hAnsi="Times New Roman"/>
                <w:color w:val="000000"/>
              </w:rPr>
              <w:t>9</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144" w:hRule="atLeast"/>
        </w:trPr>
        <w:tc>
          <w:tcPr>
            <w:tcW w:w="588"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w:t>
            </w:r>
          </w:p>
        </w:tc>
        <w:tc>
          <w:tcPr>
            <w:tcW w:w="1854"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Анучинский</w:t>
            </w:r>
          </w:p>
        </w:tc>
        <w:tc>
          <w:tcPr>
            <w:tcW w:w="992"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388,5</w:t>
            </w:r>
          </w:p>
        </w:tc>
        <w:tc>
          <w:tcPr>
            <w:tcW w:w="850"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16</w:t>
            </w:r>
            <w:r>
              <w:rPr>
                <w:rFonts w:cs="Times New Roman" w:ascii="Times New Roman" w:hAnsi="Times New Roman"/>
                <w:color w:val="000000"/>
              </w:rPr>
              <w:t>,3</w:t>
            </w:r>
          </w:p>
        </w:tc>
        <w:tc>
          <w:tcPr>
            <w:tcW w:w="1135"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1415"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372</w:t>
            </w:r>
            <w:r>
              <w:rPr>
                <w:rFonts w:cs="Times New Roman" w:ascii="Times New Roman" w:hAnsi="Times New Roman"/>
                <w:color w:val="000000"/>
              </w:rPr>
              <w:t>,</w:t>
            </w:r>
            <w:r>
              <w:rPr>
                <w:rFonts w:cs="Times New Roman" w:ascii="Times New Roman" w:hAnsi="Times New Roman"/>
                <w:color w:val="000000"/>
                <w:lang w:val="en-US"/>
              </w:rPr>
              <w:t>2</w:t>
            </w:r>
          </w:p>
        </w:tc>
        <w:tc>
          <w:tcPr>
            <w:tcW w:w="992"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328</w:t>
            </w:r>
            <w:r>
              <w:rPr>
                <w:rFonts w:cs="Times New Roman" w:ascii="Times New Roman" w:hAnsi="Times New Roman"/>
                <w:color w:val="000000"/>
              </w:rPr>
              <w:t>,</w:t>
            </w:r>
            <w:r>
              <w:rPr>
                <w:rFonts w:cs="Times New Roman" w:ascii="Times New Roman" w:hAnsi="Times New Roman"/>
                <w:color w:val="000000"/>
                <w:lang w:val="en-US"/>
              </w:rPr>
              <w:t>3</w:t>
            </w:r>
          </w:p>
        </w:tc>
        <w:tc>
          <w:tcPr>
            <w:tcW w:w="1135"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,2</w:t>
            </w:r>
          </w:p>
        </w:tc>
        <w:tc>
          <w:tcPr>
            <w:tcW w:w="992" w:type="dxa"/>
            <w:tcBorders>
              <w:top w:val="single" w:sz="6"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6</w:t>
            </w:r>
            <w:r>
              <w:rPr>
                <w:rFonts w:cs="Times New Roman" w:ascii="Times New Roman" w:hAnsi="Times New Roman"/>
                <w:color w:val="000000"/>
              </w:rPr>
              <w:t>,5</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187"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Дальнереченский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723,6</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11</w:t>
            </w:r>
            <w:r>
              <w:rPr>
                <w:rFonts w:cs="Times New Roman" w:ascii="Times New Roman" w:hAnsi="Times New Roman"/>
                <w:color w:val="000000"/>
              </w:rPr>
              <w:t>,1</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712</w:t>
            </w:r>
            <w:r>
              <w:rPr>
                <w:rFonts w:cs="Times New Roman" w:ascii="Times New Roman" w:hAnsi="Times New Roman"/>
                <w:color w:val="000000"/>
              </w:rPr>
              <w:t>,5</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567,</w:t>
            </w:r>
            <w:r>
              <w:rPr>
                <w:rFonts w:cs="Times New Roman" w:ascii="Times New Roman" w:hAnsi="Times New Roman"/>
                <w:color w:val="000000"/>
                <w:lang w:val="en-US"/>
              </w:rPr>
              <w:t>2</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 </w:t>
            </w:r>
            <w:r>
              <w:rPr>
                <w:rFonts w:cs="Times New Roman" w:ascii="Times New Roman" w:hAnsi="Times New Roman"/>
                <w:color w:val="000000"/>
              </w:rPr>
              <w:t>-</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10,5</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04"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Дальнегорский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534,2</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,8</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w:t>
            </w:r>
            <w:r>
              <w:rPr>
                <w:rFonts w:cs="Times New Roman" w:ascii="Times New Roman" w:hAnsi="Times New Roman"/>
                <w:color w:val="000000"/>
                <w:lang w:val="en-US"/>
              </w:rPr>
              <w:t>3</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532</w:t>
            </w:r>
            <w:r>
              <w:rPr>
                <w:rFonts w:cs="Times New Roman" w:ascii="Times New Roman" w:hAnsi="Times New Roman"/>
                <w:color w:val="000000"/>
              </w:rPr>
              <w:t>,</w:t>
            </w:r>
            <w:r>
              <w:rPr>
                <w:rFonts w:cs="Times New Roman" w:ascii="Times New Roman" w:hAnsi="Times New Roman"/>
                <w:color w:val="000000"/>
                <w:lang w:val="en-US"/>
              </w:rPr>
              <w:t>1</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506</w:t>
            </w:r>
            <w:r>
              <w:rPr>
                <w:rFonts w:cs="Times New Roman" w:ascii="Times New Roman" w:hAnsi="Times New Roman"/>
                <w:color w:val="000000"/>
              </w:rPr>
              <w:t>,</w:t>
            </w:r>
            <w:r>
              <w:rPr>
                <w:rFonts w:cs="Times New Roman" w:ascii="Times New Roman" w:hAnsi="Times New Roman"/>
                <w:color w:val="000000"/>
                <w:lang w:val="en-US"/>
              </w:rPr>
              <w:t>0</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0,5</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23"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Кавалеровский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421,5</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w:t>
            </w:r>
            <w:r>
              <w:rPr>
                <w:rFonts w:cs="Times New Roman" w:ascii="Times New Roman" w:hAnsi="Times New Roman"/>
                <w:color w:val="000000"/>
              </w:rPr>
              <w:t>,2</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418</w:t>
            </w:r>
            <w:r>
              <w:rPr>
                <w:rFonts w:cs="Times New Roman" w:ascii="Times New Roman" w:hAnsi="Times New Roman"/>
                <w:color w:val="000000"/>
              </w:rPr>
              <w:t>,2</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7</w:t>
            </w:r>
            <w:r>
              <w:rPr>
                <w:rFonts w:cs="Times New Roman" w:ascii="Times New Roman" w:hAnsi="Times New Roman"/>
                <w:color w:val="000000"/>
              </w:rPr>
              <w:t>,</w:t>
            </w:r>
            <w:r>
              <w:rPr>
                <w:rFonts w:cs="Times New Roman" w:ascii="Times New Roman" w:hAnsi="Times New Roman"/>
                <w:color w:val="000000"/>
                <w:lang w:val="en-US"/>
              </w:rPr>
              <w:t>9</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0,5</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54"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Кировский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348,4</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66</w:t>
            </w:r>
            <w:r>
              <w:rPr>
                <w:rFonts w:cs="Times New Roman" w:ascii="Times New Roman" w:hAnsi="Times New Roman"/>
                <w:color w:val="000000"/>
              </w:rPr>
              <w:t>,</w:t>
            </w:r>
            <w:r>
              <w:rPr>
                <w:rFonts w:cs="Times New Roman" w:ascii="Times New Roman" w:hAnsi="Times New Roman"/>
                <w:color w:val="000000"/>
                <w:lang w:val="en-US"/>
              </w:rPr>
              <w:t>0</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w:t>
            </w:r>
            <w:r>
              <w:rPr>
                <w:rFonts w:cs="Times New Roman" w:ascii="Times New Roman" w:hAnsi="Times New Roman"/>
                <w:color w:val="000000"/>
              </w:rPr>
              <w:t>,</w:t>
            </w:r>
            <w:r>
              <w:rPr>
                <w:rFonts w:cs="Times New Roman" w:ascii="Times New Roman" w:hAnsi="Times New Roman"/>
                <w:color w:val="000000"/>
                <w:lang w:val="en-US"/>
              </w:rPr>
              <w:t>8</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279</w:t>
            </w:r>
            <w:r>
              <w:rPr>
                <w:rFonts w:cs="Times New Roman" w:ascii="Times New Roman" w:hAnsi="Times New Roman"/>
                <w:color w:val="000000"/>
              </w:rPr>
              <w:t>,</w:t>
            </w:r>
            <w:r>
              <w:rPr>
                <w:rFonts w:cs="Times New Roman" w:ascii="Times New Roman" w:hAnsi="Times New Roman"/>
                <w:color w:val="000000"/>
                <w:lang w:val="en-US"/>
              </w:rPr>
              <w:t>5</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48</w:t>
            </w:r>
            <w:r>
              <w:rPr>
                <w:rFonts w:cs="Times New Roman" w:ascii="Times New Roman" w:hAnsi="Times New Roman"/>
                <w:color w:val="000000"/>
              </w:rPr>
              <w:t>,</w:t>
            </w:r>
            <w:r>
              <w:rPr>
                <w:rFonts w:cs="Times New Roman" w:ascii="Times New Roman" w:hAnsi="Times New Roman"/>
                <w:color w:val="000000"/>
                <w:lang w:val="en-US"/>
              </w:rPr>
              <w:t>3</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7"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Красноармейский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2060,3</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20</w:t>
            </w:r>
            <w:r>
              <w:rPr>
                <w:rFonts w:cs="Times New Roman" w:ascii="Times New Roman" w:hAnsi="Times New Roman"/>
                <w:color w:val="000000"/>
              </w:rPr>
              <w:t>,</w:t>
            </w:r>
            <w:r>
              <w:rPr>
                <w:rFonts w:cs="Times New Roman" w:ascii="Times New Roman" w:hAnsi="Times New Roman"/>
                <w:color w:val="000000"/>
                <w:lang w:val="en-US"/>
              </w:rPr>
              <w:t>8</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w:t>
            </w:r>
            <w:r>
              <w:rPr>
                <w:rFonts w:cs="Times New Roman" w:ascii="Times New Roman" w:hAnsi="Times New Roman"/>
                <w:color w:val="000000"/>
                <w:lang w:val="en-US"/>
              </w:rPr>
              <w:t>4</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2038</w:t>
            </w:r>
            <w:r>
              <w:rPr>
                <w:rFonts w:cs="Times New Roman" w:ascii="Times New Roman" w:hAnsi="Times New Roman"/>
                <w:color w:val="000000"/>
              </w:rPr>
              <w:t>,1</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111</w:t>
            </w:r>
            <w:r>
              <w:rPr>
                <w:rFonts w:cs="Times New Roman" w:ascii="Times New Roman" w:hAnsi="Times New Roman"/>
                <w:color w:val="000000"/>
              </w:rPr>
              <w:t>,5</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31,9-</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 </w:t>
            </w:r>
            <w:r>
              <w:rPr>
                <w:rFonts w:cs="Times New Roman" w:ascii="Times New Roman" w:hAnsi="Times New Roman"/>
                <w:color w:val="000000"/>
              </w:rPr>
              <w:t>-</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Лазовский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469,2</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7</w:t>
            </w:r>
            <w:r>
              <w:rPr>
                <w:rFonts w:cs="Times New Roman" w:ascii="Times New Roman" w:hAnsi="Times New Roman"/>
                <w:color w:val="000000"/>
              </w:rPr>
              <w:t>,6</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461</w:t>
            </w:r>
            <w:r>
              <w:rPr>
                <w:rFonts w:cs="Times New Roman" w:ascii="Times New Roman" w:hAnsi="Times New Roman"/>
                <w:color w:val="000000"/>
              </w:rPr>
              <w:t>,</w:t>
            </w:r>
            <w:r>
              <w:rPr>
                <w:rFonts w:cs="Times New Roman" w:ascii="Times New Roman" w:hAnsi="Times New Roman"/>
                <w:color w:val="000000"/>
                <w:lang w:val="en-US"/>
              </w:rPr>
              <w:t>5</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376</w:t>
            </w:r>
            <w:r>
              <w:rPr>
                <w:rFonts w:cs="Times New Roman" w:ascii="Times New Roman" w:hAnsi="Times New Roman"/>
                <w:color w:val="000000"/>
              </w:rPr>
              <w:t>,4</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0,9</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 </w:t>
            </w:r>
            <w:r>
              <w:rPr>
                <w:rFonts w:cs="Times New Roman" w:ascii="Times New Roman" w:hAnsi="Times New Roman"/>
                <w:color w:val="000000"/>
              </w:rPr>
              <w:t>-</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Лесозаводский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306,4</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30</w:t>
            </w:r>
            <w:r>
              <w:rPr>
                <w:rFonts w:cs="Times New Roman" w:ascii="Times New Roman" w:hAnsi="Times New Roman"/>
                <w:color w:val="000000"/>
              </w:rPr>
              <w:t>,9</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275</w:t>
            </w:r>
            <w:r>
              <w:rPr>
                <w:rFonts w:cs="Times New Roman" w:ascii="Times New Roman" w:hAnsi="Times New Roman"/>
                <w:color w:val="000000"/>
              </w:rPr>
              <w:t>,5</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111</w:t>
            </w:r>
            <w:r>
              <w:rPr>
                <w:rFonts w:cs="Times New Roman" w:ascii="Times New Roman" w:hAnsi="Times New Roman"/>
                <w:color w:val="000000"/>
              </w:rPr>
              <w:t>,8</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9</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Михайловский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274,1</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36,8</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34,4</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202</w:t>
            </w:r>
            <w:r>
              <w:rPr>
                <w:rFonts w:cs="Times New Roman" w:ascii="Times New Roman" w:hAnsi="Times New Roman"/>
                <w:color w:val="000000"/>
              </w:rPr>
              <w:t>,</w:t>
            </w:r>
            <w:r>
              <w:rPr>
                <w:rFonts w:cs="Times New Roman" w:ascii="Times New Roman" w:hAnsi="Times New Roman"/>
                <w:color w:val="000000"/>
                <w:lang w:val="en-US"/>
              </w:rPr>
              <w:t>9</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28</w:t>
            </w:r>
            <w:r>
              <w:rPr>
                <w:rFonts w:cs="Times New Roman" w:ascii="Times New Roman" w:hAnsi="Times New Roman"/>
                <w:color w:val="000000"/>
              </w:rPr>
              <w:t>,</w:t>
            </w:r>
            <w:r>
              <w:rPr>
                <w:rFonts w:cs="Times New Roman" w:ascii="Times New Roman" w:hAnsi="Times New Roman"/>
                <w:color w:val="000000"/>
                <w:lang w:val="en-US"/>
              </w:rPr>
              <w:t>0</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0,8</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 </w:t>
            </w:r>
            <w:r>
              <w:rPr>
                <w:rFonts w:cs="Times New Roman" w:ascii="Times New Roman" w:hAnsi="Times New Roman"/>
                <w:color w:val="000000"/>
              </w:rPr>
              <w:t>-</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Надеждинский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159,6</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5,3</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6,4</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37,8</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5,5</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122,1</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11</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Октябрьский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163,3</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w:t>
            </w:r>
            <w:r>
              <w:rPr>
                <w:rFonts w:cs="Times New Roman" w:ascii="Times New Roman" w:hAnsi="Times New Roman"/>
                <w:color w:val="000000"/>
              </w:rPr>
              <w:t>4,4</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16</w:t>
            </w:r>
            <w:r>
              <w:rPr>
                <w:rFonts w:cs="Times New Roman" w:ascii="Times New Roman" w:hAnsi="Times New Roman"/>
                <w:color w:val="000000"/>
              </w:rPr>
              <w:t>,6</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11</w:t>
            </w:r>
            <w:r>
              <w:rPr>
                <w:rFonts w:cs="Times New Roman" w:ascii="Times New Roman" w:hAnsi="Times New Roman"/>
                <w:color w:val="000000"/>
              </w:rPr>
              <w:t>2,</w:t>
            </w:r>
            <w:r>
              <w:rPr>
                <w:rFonts w:cs="Times New Roman" w:ascii="Times New Roman" w:hAnsi="Times New Roman"/>
                <w:color w:val="000000"/>
                <w:lang w:val="en-US"/>
              </w:rPr>
              <w:t>2</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w:t>
            </w:r>
            <w:r>
              <w:rPr>
                <w:rFonts w:cs="Times New Roman" w:ascii="Times New Roman" w:hAnsi="Times New Roman"/>
                <w:color w:val="000000"/>
              </w:rPr>
              <w:t>6,0</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0,4</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0,4</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Ольгинский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641,6</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4,0</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4,1</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623</w:t>
            </w:r>
            <w:r>
              <w:rPr>
                <w:rFonts w:cs="Times New Roman" w:ascii="Times New Roman" w:hAnsi="Times New Roman"/>
                <w:color w:val="000000"/>
              </w:rPr>
              <w:t>,</w:t>
            </w:r>
            <w:r>
              <w:rPr>
                <w:rFonts w:cs="Times New Roman" w:ascii="Times New Roman" w:hAnsi="Times New Roman"/>
                <w:color w:val="000000"/>
                <w:lang w:val="en-US"/>
              </w:rPr>
              <w:t>5</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82</w:t>
            </w:r>
            <w:r>
              <w:rPr>
                <w:rFonts w:cs="Times New Roman" w:ascii="Times New Roman" w:hAnsi="Times New Roman"/>
                <w:color w:val="000000"/>
              </w:rPr>
              <w:t>,</w:t>
            </w:r>
            <w:r>
              <w:rPr>
                <w:rFonts w:cs="Times New Roman" w:ascii="Times New Roman" w:hAnsi="Times New Roman"/>
                <w:color w:val="000000"/>
                <w:lang w:val="en-US"/>
              </w:rPr>
              <w:t>9</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0,9</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13</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Партизанский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409,7</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0,3</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w:t>
            </w:r>
            <w:r>
              <w:rPr>
                <w:rFonts w:cs="Times New Roman" w:ascii="Times New Roman" w:hAnsi="Times New Roman"/>
                <w:color w:val="000000"/>
              </w:rPr>
              <w:t>,</w:t>
            </w:r>
            <w:r>
              <w:rPr>
                <w:rFonts w:cs="Times New Roman" w:ascii="Times New Roman" w:hAnsi="Times New Roman"/>
                <w:color w:val="000000"/>
                <w:lang w:val="en-US"/>
              </w:rPr>
              <w:t>6</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39</w:t>
            </w:r>
            <w:r>
              <w:rPr>
                <w:rFonts w:cs="Times New Roman" w:ascii="Times New Roman" w:hAnsi="Times New Roman"/>
                <w:color w:val="000000"/>
              </w:rPr>
              <w:t>6,</w:t>
            </w:r>
            <w:r>
              <w:rPr>
                <w:rFonts w:cs="Times New Roman" w:ascii="Times New Roman" w:hAnsi="Times New Roman"/>
                <w:color w:val="000000"/>
                <w:lang w:val="en-US"/>
              </w:rPr>
              <w:t>9</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361</w:t>
            </w:r>
            <w:r>
              <w:rPr>
                <w:rFonts w:cs="Times New Roman" w:ascii="Times New Roman" w:hAnsi="Times New Roman"/>
                <w:color w:val="000000"/>
              </w:rPr>
              <w:t>,</w:t>
            </w:r>
            <w:r>
              <w:rPr>
                <w:rFonts w:cs="Times New Roman" w:ascii="Times New Roman" w:hAnsi="Times New Roman"/>
                <w:color w:val="000000"/>
                <w:lang w:val="en-US"/>
              </w:rPr>
              <w:t>7</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0,5</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 </w:t>
            </w:r>
            <w:r>
              <w:rPr>
                <w:rFonts w:cs="Times New Roman" w:ascii="Times New Roman" w:hAnsi="Times New Roman"/>
                <w:color w:val="000000"/>
              </w:rPr>
              <w:t>-</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14</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Пограничный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375,0</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16,1</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w:t>
            </w:r>
            <w:r>
              <w:rPr>
                <w:rFonts w:cs="Times New Roman" w:ascii="Times New Roman" w:hAnsi="Times New Roman"/>
                <w:color w:val="000000"/>
                <w:lang w:val="en-US"/>
              </w:rPr>
              <w:t>1</w:t>
            </w:r>
            <w:r>
              <w:rPr>
                <w:rFonts w:cs="Times New Roman" w:ascii="Times New Roman" w:hAnsi="Times New Roman"/>
                <w:color w:val="000000"/>
              </w:rPr>
              <w:t>,5</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337</w:t>
            </w:r>
            <w:r>
              <w:rPr>
                <w:rFonts w:cs="Times New Roman" w:ascii="Times New Roman" w:hAnsi="Times New Roman"/>
                <w:color w:val="000000"/>
              </w:rPr>
              <w:t>,</w:t>
            </w:r>
            <w:r>
              <w:rPr>
                <w:rFonts w:cs="Times New Roman" w:ascii="Times New Roman" w:hAnsi="Times New Roman"/>
                <w:color w:val="000000"/>
                <w:lang w:val="en-US"/>
              </w:rPr>
              <w:t>4</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24</w:t>
            </w:r>
            <w:r>
              <w:rPr>
                <w:rFonts w:cs="Times New Roman" w:ascii="Times New Roman" w:hAnsi="Times New Roman"/>
                <w:color w:val="000000"/>
              </w:rPr>
              <w:t>,</w:t>
            </w:r>
            <w:r>
              <w:rPr>
                <w:rFonts w:cs="Times New Roman" w:ascii="Times New Roman" w:hAnsi="Times New Roman"/>
                <w:color w:val="000000"/>
                <w:lang w:val="en-US"/>
              </w:rPr>
              <w:t>8</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0,7</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 </w:t>
            </w:r>
            <w:r>
              <w:rPr>
                <w:rFonts w:cs="Times New Roman" w:ascii="Times New Roman" w:hAnsi="Times New Roman"/>
                <w:color w:val="000000"/>
              </w:rPr>
              <w:t>-</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15</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Пожарский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2257,0</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16</w:t>
            </w:r>
            <w:r>
              <w:rPr>
                <w:rFonts w:cs="Times New Roman" w:ascii="Times New Roman" w:hAnsi="Times New Roman"/>
                <w:color w:val="000000"/>
              </w:rPr>
              <w:t>,2</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w:t>
            </w:r>
            <w:r>
              <w:rPr>
                <w:rFonts w:cs="Times New Roman" w:ascii="Times New Roman" w:hAnsi="Times New Roman"/>
                <w:color w:val="000000"/>
              </w:rPr>
              <w:t>,7</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2238</w:t>
            </w:r>
            <w:r>
              <w:rPr>
                <w:rFonts w:cs="Times New Roman" w:ascii="Times New Roman" w:hAnsi="Times New Roman"/>
                <w:color w:val="000000"/>
              </w:rPr>
              <w:t>,2</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21</w:t>
            </w:r>
            <w:r>
              <w:rPr>
                <w:rFonts w:cs="Times New Roman" w:ascii="Times New Roman" w:hAnsi="Times New Roman"/>
                <w:color w:val="000000"/>
                <w:lang w:val="en-US"/>
              </w:rPr>
              <w:t>1</w:t>
            </w:r>
            <w:r>
              <w:rPr>
                <w:rFonts w:cs="Times New Roman" w:ascii="Times New Roman" w:hAnsi="Times New Roman"/>
                <w:color w:val="000000"/>
              </w:rPr>
              <w:t>9,0</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16</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Спасский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420,9</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7</w:t>
            </w:r>
            <w:r>
              <w:rPr>
                <w:rFonts w:cs="Times New Roman" w:ascii="Times New Roman" w:hAnsi="Times New Roman"/>
                <w:color w:val="000000"/>
              </w:rPr>
              <w:t>4,8</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10,4</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335</w:t>
            </w:r>
            <w:r>
              <w:rPr>
                <w:rFonts w:cs="Times New Roman" w:ascii="Times New Roman" w:hAnsi="Times New Roman"/>
                <w:color w:val="000000"/>
              </w:rPr>
              <w:t>,8</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222</w:t>
            </w:r>
            <w:r>
              <w:rPr>
                <w:rFonts w:cs="Times New Roman" w:ascii="Times New Roman" w:hAnsi="Times New Roman"/>
                <w:color w:val="000000"/>
              </w:rPr>
              <w:t>,</w:t>
            </w:r>
            <w:r>
              <w:rPr>
                <w:rFonts w:cs="Times New Roman" w:ascii="Times New Roman" w:hAnsi="Times New Roman"/>
                <w:color w:val="000000"/>
                <w:lang w:val="en-US"/>
              </w:rPr>
              <w:t>0</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0,8</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w:t>
            </w:r>
            <w:r>
              <w:rPr>
                <w:rFonts w:cs="Times New Roman" w:ascii="Times New Roman" w:hAnsi="Times New Roman"/>
                <w:color w:val="000000"/>
                <w:lang w:val="en-US"/>
              </w:rPr>
              <w:t>1</w:t>
            </w:r>
            <w:r>
              <w:rPr>
                <w:rFonts w:cs="Times New Roman" w:ascii="Times New Roman" w:hAnsi="Times New Roman"/>
                <w:color w:val="000000"/>
              </w:rPr>
              <w:t>3,3</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Тернейский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2710,2</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w:t>
            </w:r>
            <w:r>
              <w:rPr>
                <w:rFonts w:cs="Times New Roman" w:ascii="Times New Roman" w:hAnsi="Times New Roman"/>
                <w:color w:val="000000"/>
                <w:lang w:val="en-US"/>
              </w:rPr>
              <w:t>1</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w:t>
            </w:r>
            <w:r>
              <w:rPr>
                <w:rFonts w:cs="Times New Roman" w:ascii="Times New Roman" w:hAnsi="Times New Roman"/>
                <w:color w:val="000000"/>
                <w:lang w:val="en-US"/>
              </w:rPr>
              <w:t>3</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2708</w:t>
            </w:r>
            <w:r>
              <w:rPr>
                <w:rFonts w:cs="Times New Roman" w:ascii="Times New Roman" w:hAnsi="Times New Roman"/>
                <w:color w:val="000000"/>
              </w:rPr>
              <w:t>,</w:t>
            </w:r>
            <w:r>
              <w:rPr>
                <w:rFonts w:cs="Times New Roman" w:ascii="Times New Roman" w:hAnsi="Times New Roman"/>
                <w:color w:val="000000"/>
                <w:lang w:val="en-US"/>
              </w:rPr>
              <w:t>7</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602,0</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0,6</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Уссурийский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345,3</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30</w:t>
            </w:r>
            <w:r>
              <w:rPr>
                <w:rFonts w:cs="Times New Roman" w:ascii="Times New Roman" w:hAnsi="Times New Roman"/>
                <w:color w:val="000000"/>
              </w:rPr>
              <w:t>,</w:t>
            </w:r>
            <w:r>
              <w:rPr>
                <w:rFonts w:cs="Times New Roman" w:ascii="Times New Roman" w:hAnsi="Times New Roman"/>
                <w:color w:val="000000"/>
                <w:lang w:val="en-US"/>
              </w:rPr>
              <w:t>3</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9</w:t>
            </w:r>
            <w:r>
              <w:rPr>
                <w:rFonts w:cs="Times New Roman" w:ascii="Times New Roman" w:hAnsi="Times New Roman"/>
                <w:color w:val="000000"/>
              </w:rPr>
              <w:t>,9</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305</w:t>
            </w:r>
            <w:r>
              <w:rPr>
                <w:rFonts w:cs="Times New Roman" w:ascii="Times New Roman" w:hAnsi="Times New Roman"/>
                <w:color w:val="000000"/>
              </w:rPr>
              <w:t>,0</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77</w:t>
            </w:r>
            <w:r>
              <w:rPr>
                <w:rFonts w:cs="Times New Roman" w:ascii="Times New Roman" w:hAnsi="Times New Roman"/>
                <w:color w:val="000000"/>
              </w:rPr>
              <w:t>,</w:t>
            </w:r>
            <w:r>
              <w:rPr>
                <w:rFonts w:cs="Times New Roman" w:ascii="Times New Roman" w:hAnsi="Times New Roman"/>
                <w:color w:val="000000"/>
                <w:lang w:val="en-US"/>
              </w:rPr>
              <w:t>9</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0,6</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3,5</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19</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Ханкайский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268,9</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61</w:t>
            </w:r>
            <w:r>
              <w:rPr>
                <w:rFonts w:cs="Times New Roman" w:ascii="Times New Roman" w:hAnsi="Times New Roman"/>
                <w:color w:val="000000"/>
              </w:rPr>
              <w:t>,6</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26</w:t>
            </w:r>
            <w:r>
              <w:rPr>
                <w:rFonts w:cs="Times New Roman" w:ascii="Times New Roman" w:hAnsi="Times New Roman"/>
                <w:color w:val="000000"/>
              </w:rPr>
              <w:t>,5</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180</w:t>
            </w:r>
            <w:r>
              <w:rPr>
                <w:rFonts w:cs="Times New Roman" w:ascii="Times New Roman" w:hAnsi="Times New Roman"/>
                <w:color w:val="000000"/>
              </w:rPr>
              <w:t>,</w:t>
            </w:r>
            <w:r>
              <w:rPr>
                <w:rFonts w:cs="Times New Roman" w:ascii="Times New Roman" w:hAnsi="Times New Roman"/>
                <w:color w:val="000000"/>
                <w:lang w:val="en-US"/>
              </w:rPr>
              <w:t>8</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6,8</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 </w:t>
            </w:r>
            <w:r>
              <w:rPr>
                <w:rFonts w:cs="Times New Roman" w:ascii="Times New Roman" w:hAnsi="Times New Roman"/>
                <w:color w:val="000000"/>
              </w:rPr>
              <w:t>-</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20</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Хасанский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413,0</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14</w:t>
            </w:r>
            <w:r>
              <w:rPr>
                <w:rFonts w:cs="Times New Roman" w:ascii="Times New Roman" w:hAnsi="Times New Roman"/>
                <w:color w:val="000000"/>
              </w:rPr>
              <w:t>,7</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15</w:t>
            </w:r>
            <w:r>
              <w:rPr>
                <w:rFonts w:cs="Times New Roman" w:ascii="Times New Roman" w:hAnsi="Times New Roman"/>
                <w:color w:val="000000"/>
              </w:rPr>
              <w:t>,6</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382</w:t>
            </w:r>
            <w:r>
              <w:rPr>
                <w:rFonts w:cs="Times New Roman" w:ascii="Times New Roman" w:hAnsi="Times New Roman"/>
                <w:color w:val="000000"/>
              </w:rPr>
              <w:t>,</w:t>
            </w:r>
            <w:r>
              <w:rPr>
                <w:rFonts w:cs="Times New Roman" w:ascii="Times New Roman" w:hAnsi="Times New Roman"/>
                <w:color w:val="000000"/>
                <w:lang w:val="en-US"/>
              </w:rPr>
              <w:t>8</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74,1</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51,7</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3,5</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21</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Хорольский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196,9</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87</w:t>
            </w:r>
            <w:r>
              <w:rPr>
                <w:rFonts w:cs="Times New Roman" w:ascii="Times New Roman" w:hAnsi="Times New Roman"/>
                <w:color w:val="000000"/>
              </w:rPr>
              <w:t>,7</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w:t>
            </w:r>
            <w:r>
              <w:rPr>
                <w:rFonts w:cs="Times New Roman" w:ascii="Times New Roman" w:hAnsi="Times New Roman"/>
                <w:color w:val="000000"/>
              </w:rPr>
              <w:t>3,0</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86</w:t>
            </w:r>
            <w:r>
              <w:rPr>
                <w:rFonts w:cs="Times New Roman" w:ascii="Times New Roman" w:hAnsi="Times New Roman"/>
                <w:color w:val="000000"/>
              </w:rPr>
              <w:t>,2</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0,6</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 </w:t>
            </w:r>
            <w:r>
              <w:rPr>
                <w:rFonts w:cs="Times New Roman" w:ascii="Times New Roman" w:hAnsi="Times New Roman"/>
                <w:color w:val="000000"/>
              </w:rPr>
              <w:t>-</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85,5</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22</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Черниговский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184,0</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27</w:t>
            </w:r>
            <w:r>
              <w:rPr>
                <w:rFonts w:cs="Times New Roman" w:ascii="Times New Roman" w:hAnsi="Times New Roman"/>
                <w:color w:val="000000"/>
              </w:rPr>
              <w:t>,</w:t>
            </w:r>
            <w:r>
              <w:rPr>
                <w:rFonts w:cs="Times New Roman" w:ascii="Times New Roman" w:hAnsi="Times New Roman"/>
                <w:color w:val="000000"/>
                <w:lang w:val="en-US"/>
              </w:rPr>
              <w:t>5</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4</w:t>
            </w:r>
            <w:r>
              <w:rPr>
                <w:rFonts w:cs="Times New Roman" w:ascii="Times New Roman" w:hAnsi="Times New Roman"/>
                <w:color w:val="000000"/>
              </w:rPr>
              <w:t>,2</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152</w:t>
            </w:r>
            <w:r>
              <w:rPr>
                <w:rFonts w:cs="Times New Roman" w:ascii="Times New Roman" w:hAnsi="Times New Roman"/>
                <w:color w:val="000000"/>
              </w:rPr>
              <w:t>,</w:t>
            </w:r>
            <w:r>
              <w:rPr>
                <w:rFonts w:cs="Times New Roman" w:ascii="Times New Roman" w:hAnsi="Times New Roman"/>
                <w:color w:val="000000"/>
                <w:lang w:val="en-US"/>
              </w:rPr>
              <w:t>3</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72,0</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23</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Чугуевский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1234,7</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18</w:t>
            </w:r>
            <w:r>
              <w:rPr>
                <w:rFonts w:cs="Times New Roman" w:ascii="Times New Roman" w:hAnsi="Times New Roman"/>
                <w:color w:val="000000"/>
              </w:rPr>
              <w:t>,4</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1216</w:t>
            </w:r>
            <w:r>
              <w:rPr>
                <w:rFonts w:cs="Times New Roman" w:ascii="Times New Roman" w:hAnsi="Times New Roman"/>
                <w:color w:val="000000"/>
              </w:rPr>
              <w:t>,</w:t>
            </w:r>
            <w:r>
              <w:rPr>
                <w:rFonts w:cs="Times New Roman" w:ascii="Times New Roman" w:hAnsi="Times New Roman"/>
                <w:color w:val="000000"/>
                <w:lang w:val="en-US"/>
              </w:rPr>
              <w:t>1</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1178</w:t>
            </w:r>
            <w:r>
              <w:rPr>
                <w:rFonts w:cs="Times New Roman" w:ascii="Times New Roman" w:hAnsi="Times New Roman"/>
                <w:color w:val="000000"/>
              </w:rPr>
              <w:t>,</w:t>
            </w:r>
            <w:r>
              <w:rPr>
                <w:rFonts w:cs="Times New Roman" w:ascii="Times New Roman" w:hAnsi="Times New Roman"/>
                <w:color w:val="000000"/>
                <w:lang w:val="en-US"/>
              </w:rPr>
              <w:t>1</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,0</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24</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Шкотовский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266,5</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6</w:t>
            </w:r>
            <w:r>
              <w:rPr>
                <w:rFonts w:cs="Times New Roman" w:ascii="Times New Roman" w:hAnsi="Times New Roman"/>
                <w:color w:val="000000"/>
              </w:rPr>
              <w:t>,3</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w:t>
            </w:r>
            <w:r>
              <w:rPr>
                <w:rFonts w:cs="Times New Roman" w:ascii="Times New Roman" w:hAnsi="Times New Roman"/>
                <w:color w:val="000000"/>
              </w:rPr>
              <w:t>,</w:t>
            </w:r>
            <w:r>
              <w:rPr>
                <w:rFonts w:cs="Times New Roman" w:ascii="Times New Roman" w:hAnsi="Times New Roman"/>
                <w:color w:val="000000"/>
                <w:lang w:val="en-US"/>
              </w:rPr>
              <w:t>9</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257</w:t>
            </w:r>
            <w:r>
              <w:rPr>
                <w:rFonts w:cs="Times New Roman" w:ascii="Times New Roman" w:hAnsi="Times New Roman"/>
                <w:color w:val="000000"/>
              </w:rPr>
              <w:t>,</w:t>
            </w:r>
            <w:r>
              <w:rPr>
                <w:rFonts w:cs="Times New Roman" w:ascii="Times New Roman" w:hAnsi="Times New Roman"/>
                <w:color w:val="000000"/>
                <w:lang w:val="en-US"/>
              </w:rPr>
              <w:t>2</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w:t>
            </w:r>
            <w:r>
              <w:rPr>
                <w:rFonts w:cs="Times New Roman" w:ascii="Times New Roman" w:hAnsi="Times New Roman"/>
                <w:color w:val="000000"/>
              </w:rPr>
              <w:t>0</w:t>
            </w:r>
            <w:r>
              <w:rPr>
                <w:rFonts w:cs="Times New Roman" w:ascii="Times New Roman" w:hAnsi="Times New Roman"/>
                <w:color w:val="000000"/>
                <w:lang w:val="en-US"/>
              </w:rPr>
              <w:t>4</w:t>
            </w:r>
            <w:r>
              <w:rPr>
                <w:rFonts w:cs="Times New Roman" w:ascii="Times New Roman" w:hAnsi="Times New Roman"/>
                <w:color w:val="000000"/>
              </w:rPr>
              <w:t>,6</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2,0</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25</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Яковлевский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240,0</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19</w:t>
            </w:r>
            <w:r>
              <w:rPr>
                <w:rFonts w:cs="Times New Roman" w:ascii="Times New Roman" w:hAnsi="Times New Roman"/>
                <w:color w:val="000000"/>
              </w:rPr>
              <w:t>,0</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w:t>
            </w:r>
            <w:r>
              <w:rPr>
                <w:rFonts w:cs="Times New Roman" w:ascii="Times New Roman" w:hAnsi="Times New Roman"/>
                <w:color w:val="000000"/>
              </w:rPr>
              <w:t>,</w:t>
            </w:r>
            <w:r>
              <w:rPr>
                <w:rFonts w:cs="Times New Roman" w:ascii="Times New Roman" w:hAnsi="Times New Roman"/>
                <w:color w:val="000000"/>
                <w:lang w:val="en-US"/>
              </w:rPr>
              <w:t>8</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218</w:t>
            </w:r>
            <w:r>
              <w:rPr>
                <w:rFonts w:cs="Times New Roman" w:ascii="Times New Roman" w:hAnsi="Times New Roman"/>
                <w:color w:val="000000"/>
              </w:rPr>
              <w:t>,2</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3,0</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lang w:val="en-US"/>
              </w:rPr>
            </w:pPr>
            <w:r>
              <w:rPr>
                <w:rFonts w:cs="Times New Roman" w:ascii="Times New Roman" w:hAnsi="Times New Roman"/>
                <w:color w:val="000000"/>
              </w:rPr>
              <w:t>0,6</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w:t>
            </w:r>
            <w:r>
              <w:rPr>
                <w:rFonts w:cs="Times New Roman" w:ascii="Times New Roman" w:hAnsi="Times New Roman"/>
                <w:color w:val="000000"/>
                <w:lang w:val="en-US"/>
              </w:rPr>
              <w:t>6</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26</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г.Арсеньев</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3,9</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w:t>
            </w:r>
            <w:r>
              <w:rPr>
                <w:rFonts w:cs="Times New Roman" w:ascii="Times New Roman" w:hAnsi="Times New Roman"/>
                <w:color w:val="000000"/>
                <w:lang w:val="en-US"/>
              </w:rPr>
              <w:t>9</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w:t>
            </w:r>
            <w:r>
              <w:rPr>
                <w:rFonts w:cs="Times New Roman" w:ascii="Times New Roman" w:hAnsi="Times New Roman"/>
                <w:color w:val="000000"/>
                <w:lang w:val="en-US"/>
              </w:rPr>
              <w:t>3</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w:t>
            </w:r>
            <w:r>
              <w:rPr>
                <w:rFonts w:cs="Times New Roman" w:ascii="Times New Roman" w:hAnsi="Times New Roman"/>
                <w:color w:val="000000"/>
              </w:rPr>
              <w:t>,7</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27</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г.Артем</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50,6</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5</w:t>
            </w:r>
            <w:r>
              <w:rPr>
                <w:rFonts w:cs="Times New Roman" w:ascii="Times New Roman" w:hAnsi="Times New Roman"/>
                <w:color w:val="000000"/>
              </w:rPr>
              <w:t>,3</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w:t>
            </w:r>
            <w:r>
              <w:rPr>
                <w:rFonts w:cs="Times New Roman" w:ascii="Times New Roman" w:hAnsi="Times New Roman"/>
                <w:color w:val="000000"/>
              </w:rPr>
              <w:t>,</w:t>
            </w:r>
            <w:r>
              <w:rPr>
                <w:rFonts w:cs="Times New Roman" w:ascii="Times New Roman" w:hAnsi="Times New Roman"/>
                <w:color w:val="000000"/>
                <w:lang w:val="en-US"/>
              </w:rPr>
              <w:t>0</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43</w:t>
            </w:r>
            <w:r>
              <w:rPr>
                <w:rFonts w:cs="Times New Roman" w:ascii="Times New Roman" w:hAnsi="Times New Roman"/>
                <w:color w:val="000000"/>
              </w:rPr>
              <w:t>,</w:t>
            </w:r>
            <w:r>
              <w:rPr>
                <w:rFonts w:cs="Times New Roman" w:ascii="Times New Roman" w:hAnsi="Times New Roman"/>
                <w:color w:val="000000"/>
                <w:lang w:val="en-US"/>
              </w:rPr>
              <w:t>3</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19</w:t>
            </w:r>
            <w:r>
              <w:rPr>
                <w:rFonts w:cs="Times New Roman" w:ascii="Times New Roman" w:hAnsi="Times New Roman"/>
                <w:color w:val="000000"/>
              </w:rPr>
              <w:t>,5</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w:t>
            </w:r>
            <w:r>
              <w:rPr>
                <w:rFonts w:cs="Times New Roman" w:ascii="Times New Roman" w:hAnsi="Times New Roman"/>
                <w:color w:val="000000"/>
              </w:rPr>
              <w:t>,</w:t>
            </w:r>
            <w:r>
              <w:rPr>
                <w:rFonts w:cs="Times New Roman" w:ascii="Times New Roman" w:hAnsi="Times New Roman"/>
                <w:color w:val="000000"/>
                <w:lang w:val="en-US"/>
              </w:rPr>
              <w:t>0</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28</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г.Владивосток</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56,2</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w:t>
            </w:r>
            <w:r>
              <w:rPr>
                <w:rFonts w:cs="Times New Roman" w:ascii="Times New Roman" w:hAnsi="Times New Roman"/>
                <w:color w:val="000000"/>
                <w:lang w:val="en-US"/>
              </w:rPr>
              <w:t>8</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7</w:t>
            </w:r>
            <w:r>
              <w:rPr>
                <w:rFonts w:cs="Times New Roman" w:ascii="Times New Roman" w:hAnsi="Times New Roman"/>
                <w:color w:val="000000"/>
              </w:rPr>
              <w:t>,9</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46</w:t>
            </w:r>
            <w:r>
              <w:rPr>
                <w:rFonts w:cs="Times New Roman" w:ascii="Times New Roman" w:hAnsi="Times New Roman"/>
                <w:color w:val="000000"/>
              </w:rPr>
              <w:t>,5</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10</w:t>
            </w:r>
            <w:r>
              <w:rPr>
                <w:rFonts w:cs="Times New Roman" w:ascii="Times New Roman" w:hAnsi="Times New Roman"/>
                <w:color w:val="000000"/>
              </w:rPr>
              <w:t>,8</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0,7</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5,8</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29</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г.Дальнереченск</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10,8</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10</w:t>
            </w:r>
            <w:r>
              <w:rPr>
                <w:rFonts w:cs="Times New Roman" w:ascii="Times New Roman" w:hAnsi="Times New Roman"/>
                <w:color w:val="000000"/>
              </w:rPr>
              <w:t>,</w:t>
            </w:r>
            <w:r>
              <w:rPr>
                <w:rFonts w:cs="Times New Roman" w:ascii="Times New Roman" w:hAnsi="Times New Roman"/>
                <w:color w:val="000000"/>
                <w:lang w:val="en-US"/>
              </w:rPr>
              <w:t>6</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w:t>
            </w:r>
            <w:r>
              <w:rPr>
                <w:rFonts w:cs="Times New Roman" w:ascii="Times New Roman" w:hAnsi="Times New Roman"/>
                <w:color w:val="000000"/>
                <w:lang w:val="en-US"/>
              </w:rPr>
              <w:t>3</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 </w:t>
            </w:r>
            <w:r>
              <w:rPr>
                <w:rFonts w:cs="Times New Roman" w:ascii="Times New Roman" w:hAnsi="Times New Roman"/>
                <w:color w:val="000000"/>
              </w:rPr>
              <w:t>-</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30</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г.Находка</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36,0</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,2</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,7</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33</w:t>
            </w:r>
            <w:r>
              <w:rPr>
                <w:rFonts w:cs="Times New Roman" w:ascii="Times New Roman" w:hAnsi="Times New Roman"/>
                <w:color w:val="000000"/>
              </w:rPr>
              <w:t>,1</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33</w:t>
            </w:r>
            <w:r>
              <w:rPr>
                <w:rFonts w:cs="Times New Roman" w:ascii="Times New Roman" w:hAnsi="Times New Roman"/>
                <w:color w:val="000000"/>
              </w:rPr>
              <w:t>,0</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 </w:t>
            </w:r>
            <w:r>
              <w:rPr>
                <w:rFonts w:cs="Times New Roman" w:ascii="Times New Roman" w:hAnsi="Times New Roman"/>
                <w:color w:val="000000"/>
              </w:rPr>
              <w:t>-</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31</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г.Спасск-Дальний</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4,3</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w:t>
            </w:r>
            <w:r>
              <w:rPr>
                <w:rFonts w:cs="Times New Roman" w:ascii="Times New Roman" w:hAnsi="Times New Roman"/>
                <w:color w:val="000000"/>
                <w:lang w:val="en-US"/>
              </w:rPr>
              <w:t>2</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w:t>
            </w:r>
            <w:r>
              <w:rPr>
                <w:rFonts w:cs="Times New Roman" w:ascii="Times New Roman" w:hAnsi="Times New Roman"/>
                <w:color w:val="000000"/>
              </w:rPr>
              <w:t>,</w:t>
            </w:r>
            <w:r>
              <w:rPr>
                <w:rFonts w:cs="Times New Roman" w:ascii="Times New Roman" w:hAnsi="Times New Roman"/>
                <w:color w:val="000000"/>
                <w:lang w:val="en-US"/>
              </w:rPr>
              <w:t>9</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32</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г.Партизанск</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128,9</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4</w:t>
            </w:r>
            <w:r>
              <w:rPr>
                <w:rFonts w:cs="Times New Roman" w:ascii="Times New Roman" w:hAnsi="Times New Roman"/>
                <w:color w:val="000000"/>
              </w:rPr>
              <w:t>,</w:t>
            </w:r>
            <w:r>
              <w:rPr>
                <w:rFonts w:cs="Times New Roman" w:ascii="Times New Roman" w:hAnsi="Times New Roman"/>
                <w:color w:val="000000"/>
                <w:lang w:val="en-US"/>
              </w:rPr>
              <w:t>1</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w:t>
            </w:r>
            <w:r>
              <w:rPr>
                <w:rFonts w:cs="Times New Roman" w:ascii="Times New Roman" w:hAnsi="Times New Roman"/>
                <w:color w:val="000000"/>
                <w:lang w:val="en-US"/>
              </w:rPr>
              <w:t>0</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123</w:t>
            </w:r>
            <w:r>
              <w:rPr>
                <w:rFonts w:cs="Times New Roman" w:ascii="Times New Roman" w:hAnsi="Times New Roman"/>
                <w:color w:val="000000"/>
              </w:rPr>
              <w:t>,</w:t>
            </w:r>
            <w:r>
              <w:rPr>
                <w:rFonts w:cs="Times New Roman" w:ascii="Times New Roman" w:hAnsi="Times New Roman"/>
                <w:color w:val="000000"/>
                <w:lang w:val="en-US"/>
              </w:rPr>
              <w:t>7</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91</w:t>
            </w:r>
            <w:r>
              <w:rPr>
                <w:rFonts w:cs="Times New Roman" w:ascii="Times New Roman" w:hAnsi="Times New Roman"/>
                <w:color w:val="000000"/>
              </w:rPr>
              <w:t>,3</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0,1</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33</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г.Уссурийск</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17,3</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w:t>
            </w:r>
            <w:r>
              <w:rPr>
                <w:rFonts w:cs="Times New Roman" w:ascii="Times New Roman" w:hAnsi="Times New Roman"/>
                <w:color w:val="000000"/>
              </w:rPr>
              <w:t>,1</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w:t>
            </w:r>
            <w:r>
              <w:rPr>
                <w:rFonts w:cs="Times New Roman" w:ascii="Times New Roman" w:hAnsi="Times New Roman"/>
                <w:color w:val="000000"/>
                <w:lang w:val="en-US"/>
              </w:rPr>
              <w:t>3</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15</w:t>
            </w:r>
            <w:r>
              <w:rPr>
                <w:rFonts w:cs="Times New Roman" w:ascii="Times New Roman" w:hAnsi="Times New Roman"/>
                <w:color w:val="000000"/>
              </w:rPr>
              <w:t>,</w:t>
            </w:r>
            <w:r>
              <w:rPr>
                <w:rFonts w:cs="Times New Roman" w:ascii="Times New Roman" w:hAnsi="Times New Roman"/>
                <w:color w:val="000000"/>
                <w:lang w:val="en-US"/>
              </w:rPr>
              <w:t>9</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w:t>
            </w:r>
            <w:r>
              <w:rPr>
                <w:rFonts w:cs="Times New Roman" w:ascii="Times New Roman" w:hAnsi="Times New Roman"/>
                <w:color w:val="000000"/>
              </w:rPr>
              <w:t>,</w:t>
            </w:r>
            <w:r>
              <w:rPr>
                <w:rFonts w:cs="Times New Roman" w:ascii="Times New Roman" w:hAnsi="Times New Roman"/>
                <w:color w:val="000000"/>
                <w:lang w:val="en-US"/>
              </w:rPr>
              <w:t>2</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 </w:t>
            </w:r>
            <w:r>
              <w:rPr>
                <w:rFonts w:cs="Times New Roman" w:ascii="Times New Roman" w:hAnsi="Times New Roman"/>
                <w:color w:val="000000"/>
              </w:rPr>
              <w:t>-</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7,</w:t>
            </w:r>
            <w:r>
              <w:rPr>
                <w:rFonts w:cs="Times New Roman" w:ascii="Times New Roman" w:hAnsi="Times New Roman"/>
                <w:color w:val="000000"/>
                <w:lang w:val="en-US"/>
              </w:rPr>
              <w:t>3</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34</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г.Фокино</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29,1</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w:t>
            </w:r>
            <w:r>
              <w:rPr>
                <w:rFonts w:cs="Times New Roman" w:ascii="Times New Roman" w:hAnsi="Times New Roman"/>
                <w:color w:val="000000"/>
              </w:rPr>
              <w:t>,3</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26</w:t>
            </w:r>
            <w:r>
              <w:rPr>
                <w:rFonts w:cs="Times New Roman" w:ascii="Times New Roman" w:hAnsi="Times New Roman"/>
                <w:color w:val="000000"/>
              </w:rPr>
              <w:t>,9</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17</w:t>
            </w:r>
            <w:r>
              <w:rPr>
                <w:rFonts w:cs="Times New Roman" w:ascii="Times New Roman" w:hAnsi="Times New Roman"/>
                <w:color w:val="000000"/>
              </w:rPr>
              <w:t>,8</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0,2</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w:t>
            </w:r>
            <w:r>
              <w:rPr>
                <w:rFonts w:cs="Times New Roman" w:ascii="Times New Roman" w:hAnsi="Times New Roman"/>
                <w:color w:val="000000"/>
                <w:lang w:val="en-US"/>
              </w:rPr>
              <w:t>1</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35</w:t>
            </w:r>
          </w:p>
        </w:tc>
        <w:tc>
          <w:tcPr>
            <w:tcW w:w="1854"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г.Большой Камень</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12,0</w:t>
            </w:r>
          </w:p>
        </w:tc>
        <w:tc>
          <w:tcPr>
            <w:tcW w:w="850"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141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11</w:t>
            </w:r>
            <w:r>
              <w:rPr>
                <w:rFonts w:cs="Times New Roman" w:ascii="Times New Roman" w:hAnsi="Times New Roman"/>
                <w:color w:val="000000"/>
              </w:rPr>
              <w:t>,</w:t>
            </w:r>
            <w:r>
              <w:rPr>
                <w:rFonts w:cs="Times New Roman" w:ascii="Times New Roman" w:hAnsi="Times New Roman"/>
                <w:color w:val="000000"/>
                <w:lang w:val="en-US"/>
              </w:rPr>
              <w:t>7</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2</w:t>
            </w:r>
            <w:r>
              <w:rPr>
                <w:rFonts w:cs="Times New Roman" w:ascii="Times New Roman" w:hAnsi="Times New Roman"/>
                <w:color w:val="000000"/>
              </w:rPr>
              <w:t>,5</w:t>
            </w:r>
          </w:p>
        </w:tc>
        <w:tc>
          <w:tcPr>
            <w:tcW w:w="1135"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w:t>
            </w:r>
          </w:p>
        </w:tc>
        <w:tc>
          <w:tcPr>
            <w:tcW w:w="992" w:type="dxa"/>
            <w:tcBorders>
              <w:top w:val="single" w:sz="2" w:space="0" w:color="000000"/>
              <w:left w:val="single" w:sz="6" w:space="0" w:color="000000"/>
              <w:bottom w:val="single" w:sz="2"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0,3</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36</w:t>
            </w:r>
          </w:p>
        </w:tc>
        <w:tc>
          <w:tcPr>
            <w:tcW w:w="1854"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оз. Ханка</w:t>
            </w:r>
          </w:p>
        </w:tc>
        <w:tc>
          <w:tcPr>
            <w:tcW w:w="992"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t>305,2</w:t>
            </w:r>
          </w:p>
        </w:tc>
        <w:tc>
          <w:tcPr>
            <w:tcW w:w="850"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lang w:val="en-US"/>
              </w:rPr>
            </w:pPr>
            <w:r>
              <w:rPr>
                <w:rFonts w:cs="Times New Roman" w:ascii="Times New Roman" w:hAnsi="Times New Roman"/>
                <w:color w:val="000000"/>
              </w:rPr>
              <w:t>-</w:t>
            </w:r>
          </w:p>
        </w:tc>
        <w:tc>
          <w:tcPr>
            <w:tcW w:w="1135"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lang w:val="en-US"/>
              </w:rPr>
            </w:pPr>
            <w:r>
              <w:rPr>
                <w:rFonts w:cs="Times New Roman" w:ascii="Times New Roman" w:hAnsi="Times New Roman"/>
                <w:color w:val="000000"/>
              </w:rPr>
              <w:t>-</w:t>
            </w:r>
          </w:p>
        </w:tc>
        <w:tc>
          <w:tcPr>
            <w:tcW w:w="1415"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lang w:val="en-US"/>
              </w:rPr>
              <w:t>305</w:t>
            </w:r>
            <w:r>
              <w:rPr>
                <w:rFonts w:cs="Times New Roman" w:ascii="Times New Roman" w:hAnsi="Times New Roman"/>
                <w:color w:val="000000"/>
              </w:rPr>
              <w:t>,</w:t>
            </w:r>
            <w:r>
              <w:rPr>
                <w:rFonts w:cs="Times New Roman" w:ascii="Times New Roman" w:hAnsi="Times New Roman"/>
                <w:color w:val="000000"/>
                <w:lang w:val="en-US"/>
              </w:rPr>
              <w:t>2</w:t>
            </w:r>
          </w:p>
        </w:tc>
        <w:tc>
          <w:tcPr>
            <w:tcW w:w="992"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lang w:val="en-US"/>
              </w:rPr>
            </w:pPr>
            <w:r>
              <w:rPr>
                <w:rFonts w:cs="Times New Roman" w:ascii="Times New Roman" w:hAnsi="Times New Roman"/>
                <w:color w:val="000000"/>
              </w:rPr>
              <w:t>-</w:t>
            </w:r>
          </w:p>
        </w:tc>
        <w:tc>
          <w:tcPr>
            <w:tcW w:w="1135"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lang w:val="en-US"/>
              </w:rPr>
            </w:pPr>
            <w:r>
              <w:rPr>
                <w:rFonts w:cs="Times New Roman" w:ascii="Times New Roman" w:hAnsi="Times New Roman"/>
                <w:color w:val="000000"/>
              </w:rPr>
              <w:t>-</w:t>
            </w:r>
          </w:p>
        </w:tc>
        <w:tc>
          <w:tcPr>
            <w:tcW w:w="992" w:type="dxa"/>
            <w:tcBorders>
              <w:top w:val="single" w:sz="2"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lang w:val="en-US"/>
              </w:rPr>
            </w:pPr>
            <w:r>
              <w:rPr>
                <w:rFonts w:cs="Times New Roman" w:ascii="Times New Roman" w:hAnsi="Times New Roman"/>
                <w:color w:val="000000"/>
              </w:rPr>
              <w:t>-</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r>
        <w:trPr>
          <w:trHeight w:val="285" w:hRule="atLeast"/>
        </w:trPr>
        <w:tc>
          <w:tcPr>
            <w:tcW w:w="588"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color w:val="000000"/>
              </w:rPr>
            </w:pPr>
            <w:r>
              <w:rPr>
                <w:rFonts w:cs="Times New Roman" w:ascii="Times New Roman" w:hAnsi="Times New Roman"/>
                <w:color w:val="000000"/>
              </w:rPr>
            </w:r>
          </w:p>
        </w:tc>
        <w:tc>
          <w:tcPr>
            <w:tcW w:w="1854"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ascii="Times New Roman" w:hAnsi="Times New Roman" w:cs="Times New Roman"/>
                <w:b/>
                <w:b/>
                <w:color w:val="000000"/>
              </w:rPr>
            </w:pPr>
            <w:r>
              <w:rPr>
                <w:rFonts w:cs="Times New Roman" w:ascii="Times New Roman" w:hAnsi="Times New Roman"/>
                <w:b/>
                <w:color w:val="000000"/>
              </w:rPr>
              <w:t>Итого земель</w:t>
            </w:r>
          </w:p>
        </w:tc>
        <w:tc>
          <w:tcPr>
            <w:tcW w:w="9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16467,3</w:t>
            </w:r>
          </w:p>
        </w:tc>
        <w:tc>
          <w:tcPr>
            <w:tcW w:w="85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617,1</w:t>
            </w:r>
          </w:p>
        </w:tc>
        <w:tc>
          <w:tcPr>
            <w:tcW w:w="1135"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234,9</w:t>
            </w:r>
          </w:p>
        </w:tc>
        <w:tc>
          <w:tcPr>
            <w:tcW w:w="1415"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15615,3</w:t>
            </w:r>
          </w:p>
        </w:tc>
        <w:tc>
          <w:tcPr>
            <w:tcW w:w="9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8489,3</w:t>
            </w:r>
          </w:p>
        </w:tc>
        <w:tc>
          <w:tcPr>
            <w:tcW w:w="1135"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103</w:t>
            </w:r>
          </w:p>
        </w:tc>
        <w:tc>
          <w:tcPr>
            <w:tcW w:w="9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right"/>
              <w:rPr>
                <w:rFonts w:ascii="Times New Roman" w:hAnsi="Times New Roman" w:cs="Times New Roman"/>
                <w:b/>
                <w:b/>
                <w:color w:val="000000"/>
              </w:rPr>
            </w:pPr>
            <w:r>
              <w:rPr>
                <w:rFonts w:cs="Times New Roman" w:ascii="Times New Roman" w:hAnsi="Times New Roman"/>
                <w:b/>
                <w:color w:val="000000"/>
              </w:rPr>
              <w:t>183,8</w:t>
            </w:r>
          </w:p>
        </w:tc>
        <w:tc>
          <w:tcPr>
            <w:tcW w:w="10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1" w:type="dxa"/>
            <w:tcBorders/>
          </w:tcPr>
          <w:p>
            <w:pPr>
              <w:pStyle w:val="Normal"/>
              <w:widowControl w:val="false"/>
              <w:spacing w:before="0" w:after="200"/>
              <w:rPr/>
            </w:pPr>
            <w:r>
              <w:rPr/>
            </w:r>
          </w:p>
        </w:tc>
        <w:tc>
          <w:tcPr>
            <w:tcW w:w="992" w:type="dxa"/>
            <w:tcBorders/>
          </w:tcPr>
          <w:p>
            <w:pPr>
              <w:pStyle w:val="Normal"/>
              <w:widowControl w:val="false"/>
              <w:spacing w:before="0" w:after="200"/>
              <w:rPr/>
            </w:pPr>
            <w:r>
              <w:rPr/>
            </w:r>
          </w:p>
        </w:tc>
        <w:tc>
          <w:tcPr>
            <w:tcW w:w="993" w:type="dxa"/>
            <w:tcBorders/>
          </w:tcPr>
          <w:p>
            <w:pPr>
              <w:pStyle w:val="Normal"/>
              <w:widowControl w:val="false"/>
              <w:spacing w:before="0" w:after="200"/>
              <w:rPr/>
            </w:pPr>
            <w:r>
              <w:rPr/>
            </w:r>
          </w:p>
        </w:tc>
      </w:tr>
    </w:tbl>
    <w:p>
      <w:pPr>
        <w:sectPr>
          <w:headerReference w:type="default" r:id="rId119"/>
          <w:footerReference w:type="default" r:id="rId120"/>
          <w:type w:val="nextPage"/>
          <w:pgSz w:w="11906" w:h="16838"/>
          <w:pgMar w:left="1701" w:right="851" w:gutter="0" w:header="709" w:top="1134" w:footer="709" w:bottom="1134"/>
          <w:pgNumType w:fmt="decimal"/>
          <w:formProt w:val="false"/>
          <w:textDirection w:val="lrTb"/>
          <w:docGrid w:type="default" w:linePitch="100" w:charSpace="4096"/>
        </w:sectPr>
      </w:pPr>
    </w:p>
    <w:p>
      <w:pPr>
        <w:pStyle w:val="Normal"/>
        <w:spacing w:before="0" w:after="0"/>
        <w:jc w:val="right"/>
        <w:rPr>
          <w:rFonts w:ascii="Times New Roman" w:hAnsi="Times New Roman" w:cs="Times New Roman"/>
          <w:sz w:val="28"/>
          <w:szCs w:val="28"/>
        </w:rPr>
      </w:pPr>
      <w:r>
        <w:rPr>
          <w:rFonts w:cs="Times New Roman" w:ascii="Times New Roman" w:hAnsi="Times New Roman"/>
          <w:sz w:val="28"/>
          <w:szCs w:val="28"/>
        </w:rPr>
        <w:t>Приложение № 4</w:t>
      </w:r>
    </w:p>
    <w:p>
      <w:pPr>
        <w:pStyle w:val="Normal"/>
        <w:jc w:val="center"/>
        <w:rPr>
          <w:rFonts w:ascii="Times New Roman" w:hAnsi="Times New Roman" w:cs="Times New Roman"/>
          <w:b/>
          <w:b/>
          <w:sz w:val="24"/>
          <w:szCs w:val="24"/>
        </w:rPr>
      </w:pPr>
      <w:r>
        <w:rPr>
          <w:rFonts w:cs="Times New Roman" w:ascii="Times New Roman" w:hAnsi="Times New Roman"/>
          <w:b/>
          <w:sz w:val="24"/>
          <w:szCs w:val="24"/>
        </w:rPr>
        <w:t>Сведения о правах на земельные участки, предоставленные гражданам (в гектарах)</w:t>
      </w:r>
    </w:p>
    <w:tbl>
      <w:tblPr>
        <w:tblW w:w="1558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782"/>
        <w:gridCol w:w="3011"/>
        <w:gridCol w:w="1217"/>
        <w:gridCol w:w="1361"/>
        <w:gridCol w:w="1292"/>
        <w:gridCol w:w="1269"/>
        <w:gridCol w:w="1178"/>
        <w:gridCol w:w="959"/>
        <w:gridCol w:w="1176"/>
        <w:gridCol w:w="1169"/>
        <w:gridCol w:w="1177"/>
        <w:gridCol w:w="994"/>
      </w:tblGrid>
      <w:tr>
        <w:trPr>
          <w:trHeight w:val="255" w:hRule="atLeast"/>
        </w:trPr>
        <w:tc>
          <w:tcPr>
            <w:tcW w:w="78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 xml:space="preserve">№№ </w:t>
            </w:r>
            <w:r>
              <w:rPr>
                <w:rFonts w:cs="Times New Roman" w:ascii="Times New Roman" w:hAnsi="Times New Roman"/>
                <w:sz w:val="20"/>
                <w:szCs w:val="20"/>
              </w:rPr>
              <w:t>п.п.</w:t>
            </w:r>
          </w:p>
        </w:tc>
        <w:tc>
          <w:tcPr>
            <w:tcW w:w="30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eastAsia="en-US" w:bidi="en-US"/>
              </w:rPr>
            </w:pPr>
            <w:r>
              <w:rPr>
                <w:rFonts w:cs="Times New Roman" w:ascii="Times New Roman" w:hAnsi="Times New Roman"/>
                <w:sz w:val="20"/>
                <w:szCs w:val="20"/>
              </w:rPr>
              <w:t xml:space="preserve">Наименования хозяйствующих субъектов или цели </w:t>
              <w:br/>
              <w:t xml:space="preserve">предоставления земельных </w:t>
              <w:br/>
              <w:t>участков</w:t>
            </w:r>
          </w:p>
        </w:tc>
        <w:tc>
          <w:tcPr>
            <w:tcW w:w="2578"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Количество</w:t>
            </w:r>
          </w:p>
        </w:tc>
        <w:tc>
          <w:tcPr>
            <w:tcW w:w="12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Количество земельных участков</w:t>
            </w:r>
          </w:p>
        </w:tc>
        <w:tc>
          <w:tcPr>
            <w:tcW w:w="1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Общая площадь земельных участков</w:t>
            </w:r>
          </w:p>
        </w:tc>
        <w:tc>
          <w:tcPr>
            <w:tcW w:w="6653"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eastAsia="en-US" w:bidi="en-US"/>
              </w:rPr>
            </w:pPr>
            <w:r>
              <w:rPr>
                <w:rFonts w:cs="Times New Roman" w:ascii="Times New Roman" w:hAnsi="Times New Roman"/>
                <w:sz w:val="20"/>
                <w:szCs w:val="20"/>
              </w:rPr>
              <w:t>в том числе находящихся на праве:</w:t>
            </w:r>
          </w:p>
        </w:tc>
      </w:tr>
      <w:tr>
        <w:trPr>
          <w:trHeight w:val="255" w:hRule="atLeast"/>
        </w:trPr>
        <w:tc>
          <w:tcPr>
            <w:tcW w:w="7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c>
          <w:tcPr>
            <w:tcW w:w="30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c>
          <w:tcPr>
            <w:tcW w:w="2578"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c>
          <w:tcPr>
            <w:tcW w:w="12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c>
          <w:tcPr>
            <w:tcW w:w="1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c>
          <w:tcPr>
            <w:tcW w:w="2137"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собственности</w:t>
            </w:r>
          </w:p>
        </w:tc>
        <w:tc>
          <w:tcPr>
            <w:tcW w:w="2345"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 xml:space="preserve">пожизненного </w:t>
              <w:br/>
              <w:t>наследуемого владения</w:t>
            </w:r>
          </w:p>
        </w:tc>
        <w:tc>
          <w:tcPr>
            <w:tcW w:w="2171"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eastAsia="en-US" w:bidi="en-US"/>
              </w:rPr>
            </w:pPr>
            <w:r>
              <w:rPr>
                <w:rFonts w:cs="Times New Roman" w:ascii="Times New Roman" w:hAnsi="Times New Roman"/>
                <w:sz w:val="20"/>
                <w:szCs w:val="20"/>
              </w:rPr>
              <w:t xml:space="preserve">Постоянного </w:t>
              <w:br/>
              <w:t xml:space="preserve">(бессрочного) </w:t>
              <w:br/>
              <w:t xml:space="preserve">пользования у </w:t>
              <w:br/>
              <w:t>юридических лиц</w:t>
            </w:r>
          </w:p>
        </w:tc>
      </w:tr>
      <w:tr>
        <w:trPr>
          <w:trHeight w:val="255" w:hRule="atLeast"/>
        </w:trPr>
        <w:tc>
          <w:tcPr>
            <w:tcW w:w="7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c>
          <w:tcPr>
            <w:tcW w:w="30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c>
          <w:tcPr>
            <w:tcW w:w="1217" w:type="dxa"/>
            <w:tcBorders>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физических лиц</w:t>
            </w:r>
          </w:p>
        </w:tc>
        <w:tc>
          <w:tcPr>
            <w:tcW w:w="1361"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юридических лиц</w:t>
            </w:r>
          </w:p>
        </w:tc>
        <w:tc>
          <w:tcPr>
            <w:tcW w:w="12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val="en-US" w:eastAsia="en-US" w:bidi="en-US"/>
              </w:rPr>
            </w:pPr>
            <w:r>
              <w:rPr>
                <w:rFonts w:cs="Times New Roman" w:ascii="Times New Roman" w:hAnsi="Times New Roman"/>
                <w:sz w:val="20"/>
                <w:szCs w:val="20"/>
                <w:lang w:val="en-US" w:eastAsia="en-US" w:bidi="en-US"/>
              </w:rPr>
            </w:r>
          </w:p>
        </w:tc>
        <w:tc>
          <w:tcPr>
            <w:tcW w:w="1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val="en-US" w:eastAsia="en-US" w:bidi="en-US"/>
              </w:rPr>
            </w:pPr>
            <w:r>
              <w:rPr>
                <w:rFonts w:cs="Times New Roman" w:ascii="Times New Roman" w:hAnsi="Times New Roman"/>
                <w:sz w:val="20"/>
                <w:szCs w:val="20"/>
                <w:lang w:val="en-US" w:eastAsia="en-US" w:bidi="en-US"/>
              </w:rPr>
            </w:r>
          </w:p>
        </w:tc>
        <w:tc>
          <w:tcPr>
            <w:tcW w:w="1178" w:type="dxa"/>
            <w:tcBorders>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количество участков</w:t>
            </w:r>
          </w:p>
        </w:tc>
        <w:tc>
          <w:tcPr>
            <w:tcW w:w="959" w:type="dxa"/>
            <w:tcBorders>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площадь</w:t>
            </w:r>
          </w:p>
        </w:tc>
        <w:tc>
          <w:tcPr>
            <w:tcW w:w="1176" w:type="dxa"/>
            <w:tcBorders>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количество участков</w:t>
            </w:r>
          </w:p>
        </w:tc>
        <w:tc>
          <w:tcPr>
            <w:tcW w:w="1169" w:type="dxa"/>
            <w:tcBorders>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площадь</w:t>
            </w:r>
          </w:p>
        </w:tc>
        <w:tc>
          <w:tcPr>
            <w:tcW w:w="1177" w:type="dxa"/>
            <w:tcBorders>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количество участков</w:t>
            </w:r>
          </w:p>
        </w:tc>
        <w:tc>
          <w:tcPr>
            <w:tcW w:w="994" w:type="dxa"/>
            <w:tcBorders>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Площадь</w:t>
            </w:r>
          </w:p>
        </w:tc>
      </w:tr>
      <w:tr>
        <w:trPr>
          <w:trHeight w:val="255" w:hRule="atLeast"/>
        </w:trPr>
        <w:tc>
          <w:tcPr>
            <w:tcW w:w="782" w:type="dxa"/>
            <w:tcBorders>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А</w:t>
            </w:r>
          </w:p>
        </w:tc>
        <w:tc>
          <w:tcPr>
            <w:tcW w:w="3011" w:type="dxa"/>
            <w:tcBorders>
              <w:top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Б</w:t>
            </w:r>
          </w:p>
        </w:tc>
        <w:tc>
          <w:tcPr>
            <w:tcW w:w="1217" w:type="dxa"/>
            <w:tcBorders>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w:t>
            </w:r>
          </w:p>
        </w:tc>
        <w:tc>
          <w:tcPr>
            <w:tcW w:w="1361" w:type="dxa"/>
            <w:tcBorders>
              <w:top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2</w:t>
            </w:r>
          </w:p>
        </w:tc>
        <w:tc>
          <w:tcPr>
            <w:tcW w:w="1292" w:type="dxa"/>
            <w:tcBorders>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3</w:t>
            </w:r>
          </w:p>
        </w:tc>
        <w:tc>
          <w:tcPr>
            <w:tcW w:w="1269" w:type="dxa"/>
            <w:tcBorders>
              <w:top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4</w:t>
            </w:r>
          </w:p>
        </w:tc>
        <w:tc>
          <w:tcPr>
            <w:tcW w:w="1178" w:type="dxa"/>
            <w:tcBorders>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5</w:t>
            </w:r>
          </w:p>
        </w:tc>
        <w:tc>
          <w:tcPr>
            <w:tcW w:w="959" w:type="dxa"/>
            <w:tcBorders>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6</w:t>
            </w:r>
          </w:p>
        </w:tc>
        <w:tc>
          <w:tcPr>
            <w:tcW w:w="1176" w:type="dxa"/>
            <w:tcBorders>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7</w:t>
            </w:r>
          </w:p>
        </w:tc>
        <w:tc>
          <w:tcPr>
            <w:tcW w:w="1169" w:type="dxa"/>
            <w:tcBorders>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8</w:t>
            </w:r>
          </w:p>
        </w:tc>
        <w:tc>
          <w:tcPr>
            <w:tcW w:w="1177" w:type="dxa"/>
            <w:tcBorders>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9</w:t>
            </w:r>
          </w:p>
        </w:tc>
        <w:tc>
          <w:tcPr>
            <w:tcW w:w="994" w:type="dxa"/>
            <w:tcBorders>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10</w:t>
            </w:r>
          </w:p>
        </w:tc>
      </w:tr>
      <w:tr>
        <w:trPr>
          <w:trHeight w:val="495" w:hRule="atLeast"/>
        </w:trPr>
        <w:tc>
          <w:tcPr>
            <w:tcW w:w="782" w:type="dxa"/>
            <w:tcBorders>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w:t>
            </w:r>
          </w:p>
        </w:tc>
        <w:tc>
          <w:tcPr>
            <w:tcW w:w="3011" w:type="dxa"/>
            <w:tcBorders>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eastAsia="en-US" w:bidi="en-US"/>
              </w:rPr>
            </w:pPr>
            <w:r>
              <w:rPr>
                <w:rFonts w:cs="Times New Roman" w:ascii="Times New Roman" w:hAnsi="Times New Roman"/>
                <w:sz w:val="20"/>
                <w:szCs w:val="20"/>
              </w:rPr>
              <w:t>Крестьянское (фермерское) хозяйство, в том числе:</w:t>
            </w:r>
          </w:p>
        </w:tc>
        <w:tc>
          <w:tcPr>
            <w:tcW w:w="121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1410</w:t>
            </w:r>
          </w:p>
        </w:tc>
        <w:tc>
          <w:tcPr>
            <w:tcW w:w="1361"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514</w:t>
            </w:r>
          </w:p>
        </w:tc>
        <w:tc>
          <w:tcPr>
            <w:tcW w:w="1292"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3780</w:t>
            </w:r>
          </w:p>
        </w:tc>
        <w:tc>
          <w:tcPr>
            <w:tcW w:w="12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132997</w:t>
            </w:r>
          </w:p>
        </w:tc>
        <w:tc>
          <w:tcPr>
            <w:tcW w:w="1178"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2577</w:t>
            </w:r>
          </w:p>
        </w:tc>
        <w:tc>
          <w:tcPr>
            <w:tcW w:w="95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64706</w:t>
            </w:r>
          </w:p>
        </w:tc>
        <w:tc>
          <w:tcPr>
            <w:tcW w:w="1176"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77</w:t>
            </w:r>
          </w:p>
        </w:tc>
        <w:tc>
          <w:tcPr>
            <w:tcW w:w="11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1561</w:t>
            </w:r>
          </w:p>
        </w:tc>
        <w:tc>
          <w:tcPr>
            <w:tcW w:w="117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55</w:t>
            </w:r>
          </w:p>
        </w:tc>
        <w:tc>
          <w:tcPr>
            <w:tcW w:w="994"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1075</w:t>
            </w:r>
          </w:p>
        </w:tc>
      </w:tr>
      <w:tr>
        <w:trPr>
          <w:trHeight w:val="765" w:hRule="atLeast"/>
        </w:trPr>
        <w:tc>
          <w:tcPr>
            <w:tcW w:w="782" w:type="dxa"/>
            <w:tcBorders>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1.1.</w:t>
            </w:r>
          </w:p>
        </w:tc>
        <w:tc>
          <w:tcPr>
            <w:tcW w:w="3011" w:type="dxa"/>
            <w:tcBorders>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eastAsia="en-US" w:bidi="en-US"/>
              </w:rPr>
            </w:pPr>
            <w:r>
              <w:rPr>
                <w:rFonts w:cs="Times New Roman" w:ascii="Times New Roman" w:hAnsi="Times New Roman"/>
                <w:sz w:val="20"/>
                <w:szCs w:val="20"/>
              </w:rPr>
              <w:t>оленеводческое и промысловое крестьянское (фермерское) хозяйство</w:t>
            </w:r>
          </w:p>
        </w:tc>
        <w:tc>
          <w:tcPr>
            <w:tcW w:w="121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361"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92"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8"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6"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4"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lang w:val="en-US"/>
              </w:rPr>
              <w:t>-</w:t>
            </w:r>
          </w:p>
        </w:tc>
      </w:tr>
      <w:tr>
        <w:trPr>
          <w:trHeight w:val="300" w:hRule="atLeast"/>
        </w:trPr>
        <w:tc>
          <w:tcPr>
            <w:tcW w:w="782" w:type="dxa"/>
            <w:tcBorders>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2.</w:t>
            </w:r>
          </w:p>
        </w:tc>
        <w:tc>
          <w:tcPr>
            <w:tcW w:w="3011" w:type="dxa"/>
            <w:tcBorders>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Личное подсобное хозяйство</w:t>
            </w:r>
          </w:p>
        </w:tc>
        <w:tc>
          <w:tcPr>
            <w:tcW w:w="121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140749</w:t>
            </w:r>
          </w:p>
        </w:tc>
        <w:tc>
          <w:tcPr>
            <w:tcW w:w="1361"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92"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141461</w:t>
            </w:r>
          </w:p>
        </w:tc>
        <w:tc>
          <w:tcPr>
            <w:tcW w:w="12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77369</w:t>
            </w:r>
          </w:p>
        </w:tc>
        <w:tc>
          <w:tcPr>
            <w:tcW w:w="1178"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77120</w:t>
            </w:r>
          </w:p>
        </w:tc>
        <w:tc>
          <w:tcPr>
            <w:tcW w:w="95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44631</w:t>
            </w:r>
          </w:p>
        </w:tc>
        <w:tc>
          <w:tcPr>
            <w:tcW w:w="1176"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879</w:t>
            </w:r>
          </w:p>
        </w:tc>
        <w:tc>
          <w:tcPr>
            <w:tcW w:w="11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243</w:t>
            </w:r>
          </w:p>
        </w:tc>
        <w:tc>
          <w:tcPr>
            <w:tcW w:w="117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4"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lang w:val="en-US"/>
              </w:rPr>
              <w:t>-</w:t>
            </w:r>
          </w:p>
        </w:tc>
      </w:tr>
      <w:tr>
        <w:trPr>
          <w:trHeight w:val="300" w:hRule="atLeast"/>
        </w:trPr>
        <w:tc>
          <w:tcPr>
            <w:tcW w:w="782" w:type="dxa"/>
            <w:tcBorders>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3.</w:t>
            </w:r>
          </w:p>
        </w:tc>
        <w:tc>
          <w:tcPr>
            <w:tcW w:w="3011" w:type="dxa"/>
            <w:tcBorders>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Служебный надел</w:t>
            </w:r>
          </w:p>
        </w:tc>
        <w:tc>
          <w:tcPr>
            <w:tcW w:w="121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66</w:t>
            </w:r>
          </w:p>
        </w:tc>
        <w:tc>
          <w:tcPr>
            <w:tcW w:w="1361"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92"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66</w:t>
            </w:r>
          </w:p>
        </w:tc>
        <w:tc>
          <w:tcPr>
            <w:tcW w:w="12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46</w:t>
            </w:r>
          </w:p>
        </w:tc>
        <w:tc>
          <w:tcPr>
            <w:tcW w:w="1178"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6"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4"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lang w:val="en-US"/>
              </w:rPr>
              <w:t>-</w:t>
            </w:r>
          </w:p>
        </w:tc>
      </w:tr>
      <w:tr>
        <w:trPr>
          <w:trHeight w:val="495" w:hRule="atLeast"/>
        </w:trPr>
        <w:tc>
          <w:tcPr>
            <w:tcW w:w="782" w:type="dxa"/>
            <w:tcBorders>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4.</w:t>
            </w:r>
          </w:p>
        </w:tc>
        <w:tc>
          <w:tcPr>
            <w:tcW w:w="3011" w:type="dxa"/>
            <w:tcBorders>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Садовод и садоводческое объединение</w:t>
            </w:r>
          </w:p>
        </w:tc>
        <w:tc>
          <w:tcPr>
            <w:tcW w:w="121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222948</w:t>
            </w:r>
          </w:p>
        </w:tc>
        <w:tc>
          <w:tcPr>
            <w:tcW w:w="1361"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964</w:t>
            </w:r>
          </w:p>
        </w:tc>
        <w:tc>
          <w:tcPr>
            <w:tcW w:w="1292"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223081</w:t>
            </w:r>
          </w:p>
        </w:tc>
        <w:tc>
          <w:tcPr>
            <w:tcW w:w="12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23292</w:t>
            </w:r>
          </w:p>
        </w:tc>
        <w:tc>
          <w:tcPr>
            <w:tcW w:w="1178"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177403</w:t>
            </w:r>
          </w:p>
        </w:tc>
        <w:tc>
          <w:tcPr>
            <w:tcW w:w="95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15648</w:t>
            </w:r>
          </w:p>
        </w:tc>
        <w:tc>
          <w:tcPr>
            <w:tcW w:w="1176"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20</w:t>
            </w:r>
          </w:p>
        </w:tc>
        <w:tc>
          <w:tcPr>
            <w:tcW w:w="11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w:t>
            </w:r>
          </w:p>
        </w:tc>
        <w:tc>
          <w:tcPr>
            <w:tcW w:w="117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7935</w:t>
            </w:r>
          </w:p>
        </w:tc>
        <w:tc>
          <w:tcPr>
            <w:tcW w:w="994"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2207</w:t>
            </w:r>
          </w:p>
        </w:tc>
      </w:tr>
      <w:tr>
        <w:trPr>
          <w:trHeight w:val="495" w:hRule="atLeast"/>
        </w:trPr>
        <w:tc>
          <w:tcPr>
            <w:tcW w:w="782" w:type="dxa"/>
            <w:tcBorders>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5.</w:t>
            </w:r>
          </w:p>
        </w:tc>
        <w:tc>
          <w:tcPr>
            <w:tcW w:w="3011" w:type="dxa"/>
            <w:tcBorders>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Огородник и огородническое объединение</w:t>
            </w:r>
          </w:p>
        </w:tc>
        <w:tc>
          <w:tcPr>
            <w:tcW w:w="121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38095</w:t>
            </w:r>
          </w:p>
        </w:tc>
        <w:tc>
          <w:tcPr>
            <w:tcW w:w="1361"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18</w:t>
            </w:r>
          </w:p>
        </w:tc>
        <w:tc>
          <w:tcPr>
            <w:tcW w:w="1292"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38501</w:t>
            </w:r>
          </w:p>
        </w:tc>
        <w:tc>
          <w:tcPr>
            <w:tcW w:w="12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7107</w:t>
            </w:r>
          </w:p>
        </w:tc>
        <w:tc>
          <w:tcPr>
            <w:tcW w:w="1178"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1910</w:t>
            </w:r>
          </w:p>
        </w:tc>
        <w:tc>
          <w:tcPr>
            <w:tcW w:w="95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205</w:t>
            </w:r>
          </w:p>
        </w:tc>
        <w:tc>
          <w:tcPr>
            <w:tcW w:w="1176"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w:t>
            </w:r>
          </w:p>
        </w:tc>
        <w:tc>
          <w:tcPr>
            <w:tcW w:w="994"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w:t>
            </w:r>
          </w:p>
        </w:tc>
      </w:tr>
      <w:tr>
        <w:trPr>
          <w:trHeight w:val="495" w:hRule="atLeast"/>
        </w:trPr>
        <w:tc>
          <w:tcPr>
            <w:tcW w:w="782" w:type="dxa"/>
            <w:tcBorders>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6.</w:t>
            </w:r>
          </w:p>
        </w:tc>
        <w:tc>
          <w:tcPr>
            <w:tcW w:w="3011" w:type="dxa"/>
            <w:tcBorders>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Животновод и животноводческое объединение</w:t>
            </w:r>
          </w:p>
        </w:tc>
        <w:tc>
          <w:tcPr>
            <w:tcW w:w="121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419</w:t>
            </w:r>
          </w:p>
        </w:tc>
        <w:tc>
          <w:tcPr>
            <w:tcW w:w="1361"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w:t>
            </w:r>
          </w:p>
        </w:tc>
        <w:tc>
          <w:tcPr>
            <w:tcW w:w="1292"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320</w:t>
            </w:r>
          </w:p>
        </w:tc>
        <w:tc>
          <w:tcPr>
            <w:tcW w:w="12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5560</w:t>
            </w:r>
          </w:p>
        </w:tc>
        <w:tc>
          <w:tcPr>
            <w:tcW w:w="1178"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74</w:t>
            </w:r>
          </w:p>
        </w:tc>
        <w:tc>
          <w:tcPr>
            <w:tcW w:w="95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2629</w:t>
            </w:r>
          </w:p>
        </w:tc>
        <w:tc>
          <w:tcPr>
            <w:tcW w:w="1176"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w:t>
            </w:r>
          </w:p>
        </w:tc>
        <w:tc>
          <w:tcPr>
            <w:tcW w:w="11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w:t>
            </w:r>
          </w:p>
        </w:tc>
        <w:tc>
          <w:tcPr>
            <w:tcW w:w="117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w:t>
            </w:r>
          </w:p>
        </w:tc>
        <w:tc>
          <w:tcPr>
            <w:tcW w:w="994"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w:t>
            </w:r>
          </w:p>
        </w:tc>
      </w:tr>
      <w:tr>
        <w:trPr>
          <w:trHeight w:val="300" w:hRule="atLeast"/>
        </w:trPr>
        <w:tc>
          <w:tcPr>
            <w:tcW w:w="782" w:type="dxa"/>
            <w:tcBorders>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7.</w:t>
            </w:r>
          </w:p>
        </w:tc>
        <w:tc>
          <w:tcPr>
            <w:tcW w:w="3011" w:type="dxa"/>
            <w:tcBorders>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Дачник и дачное объединение</w:t>
            </w:r>
          </w:p>
        </w:tc>
        <w:tc>
          <w:tcPr>
            <w:tcW w:w="121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2624</w:t>
            </w:r>
          </w:p>
        </w:tc>
        <w:tc>
          <w:tcPr>
            <w:tcW w:w="1361"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19</w:t>
            </w:r>
          </w:p>
        </w:tc>
        <w:tc>
          <w:tcPr>
            <w:tcW w:w="1292"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2950</w:t>
            </w:r>
          </w:p>
        </w:tc>
        <w:tc>
          <w:tcPr>
            <w:tcW w:w="12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502</w:t>
            </w:r>
          </w:p>
        </w:tc>
        <w:tc>
          <w:tcPr>
            <w:tcW w:w="1178"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979</w:t>
            </w:r>
          </w:p>
        </w:tc>
        <w:tc>
          <w:tcPr>
            <w:tcW w:w="95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141</w:t>
            </w:r>
          </w:p>
        </w:tc>
        <w:tc>
          <w:tcPr>
            <w:tcW w:w="1176"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23</w:t>
            </w:r>
          </w:p>
        </w:tc>
        <w:tc>
          <w:tcPr>
            <w:tcW w:w="11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6</w:t>
            </w:r>
          </w:p>
        </w:tc>
        <w:tc>
          <w:tcPr>
            <w:tcW w:w="117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4"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lang w:val="en-US"/>
              </w:rPr>
              <w:t>-</w:t>
            </w:r>
          </w:p>
        </w:tc>
      </w:tr>
      <w:tr>
        <w:trPr>
          <w:trHeight w:val="975" w:hRule="atLeast"/>
        </w:trPr>
        <w:tc>
          <w:tcPr>
            <w:tcW w:w="782" w:type="dxa"/>
            <w:tcBorders>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8.</w:t>
            </w:r>
          </w:p>
        </w:tc>
        <w:tc>
          <w:tcPr>
            <w:tcW w:w="3011" w:type="dxa"/>
            <w:tcBorders>
              <w:top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eastAsia="en-US" w:bidi="en-US"/>
              </w:rPr>
            </w:pPr>
            <w:r>
              <w:rPr>
                <w:rFonts w:cs="Times New Roman" w:ascii="Times New Roman" w:hAnsi="Times New Roman"/>
                <w:sz w:val="20"/>
                <w:szCs w:val="20"/>
              </w:rPr>
              <w:t>Граждане, имеющие земельные участки, предоставленные для индивидуального жилищного строительства</w:t>
            </w:r>
          </w:p>
        </w:tc>
        <w:tc>
          <w:tcPr>
            <w:tcW w:w="121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108865</w:t>
            </w:r>
          </w:p>
        </w:tc>
        <w:tc>
          <w:tcPr>
            <w:tcW w:w="1361"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6</w:t>
            </w:r>
          </w:p>
        </w:tc>
        <w:tc>
          <w:tcPr>
            <w:tcW w:w="1292"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110564</w:t>
            </w:r>
          </w:p>
        </w:tc>
        <w:tc>
          <w:tcPr>
            <w:tcW w:w="12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17579</w:t>
            </w:r>
          </w:p>
        </w:tc>
        <w:tc>
          <w:tcPr>
            <w:tcW w:w="1178"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57491</w:t>
            </w:r>
          </w:p>
        </w:tc>
        <w:tc>
          <w:tcPr>
            <w:tcW w:w="95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8659</w:t>
            </w:r>
          </w:p>
        </w:tc>
        <w:tc>
          <w:tcPr>
            <w:tcW w:w="1176"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5888</w:t>
            </w:r>
          </w:p>
        </w:tc>
        <w:tc>
          <w:tcPr>
            <w:tcW w:w="11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868</w:t>
            </w:r>
          </w:p>
        </w:tc>
        <w:tc>
          <w:tcPr>
            <w:tcW w:w="117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w:t>
            </w:r>
          </w:p>
        </w:tc>
        <w:tc>
          <w:tcPr>
            <w:tcW w:w="994"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w:t>
            </w:r>
          </w:p>
        </w:tc>
      </w:tr>
      <w:tr>
        <w:trPr>
          <w:trHeight w:val="495" w:hRule="atLeast"/>
        </w:trPr>
        <w:tc>
          <w:tcPr>
            <w:tcW w:w="782" w:type="dxa"/>
            <w:tcBorders>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9.</w:t>
            </w:r>
          </w:p>
        </w:tc>
        <w:tc>
          <w:tcPr>
            <w:tcW w:w="3011" w:type="dxa"/>
            <w:tcBorders>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eastAsia="en-US" w:bidi="en-US"/>
              </w:rPr>
            </w:pPr>
            <w:r>
              <w:rPr>
                <w:rFonts w:cs="Times New Roman" w:ascii="Times New Roman" w:hAnsi="Times New Roman"/>
                <w:sz w:val="20"/>
                <w:szCs w:val="20"/>
              </w:rPr>
              <w:t>Граждане, занимающиеся сенокошением и выпасом скота</w:t>
            </w:r>
          </w:p>
        </w:tc>
        <w:tc>
          <w:tcPr>
            <w:tcW w:w="121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5216</w:t>
            </w:r>
          </w:p>
        </w:tc>
        <w:tc>
          <w:tcPr>
            <w:tcW w:w="1361"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92"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4642</w:t>
            </w:r>
          </w:p>
        </w:tc>
        <w:tc>
          <w:tcPr>
            <w:tcW w:w="12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21376</w:t>
            </w:r>
          </w:p>
        </w:tc>
        <w:tc>
          <w:tcPr>
            <w:tcW w:w="1178"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27</w:t>
            </w:r>
          </w:p>
        </w:tc>
        <w:tc>
          <w:tcPr>
            <w:tcW w:w="95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149</w:t>
            </w:r>
          </w:p>
        </w:tc>
        <w:tc>
          <w:tcPr>
            <w:tcW w:w="1176"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4"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lang w:val="en-US"/>
              </w:rPr>
              <w:t>-</w:t>
            </w:r>
          </w:p>
        </w:tc>
      </w:tr>
      <w:tr>
        <w:trPr>
          <w:trHeight w:val="750" w:hRule="atLeast"/>
        </w:trPr>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10.</w:t>
            </w:r>
          </w:p>
        </w:tc>
        <w:tc>
          <w:tcPr>
            <w:tcW w:w="3011" w:type="dxa"/>
            <w:tcBorders>
              <w:top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eastAsia="en-US" w:bidi="en-US"/>
              </w:rPr>
            </w:pPr>
            <w:r>
              <w:rPr>
                <w:rFonts w:cs="Times New Roman" w:ascii="Times New Roman" w:hAnsi="Times New Roman"/>
                <w:sz w:val="20"/>
                <w:szCs w:val="20"/>
              </w:rPr>
              <w:t>Индивидуальные предприниматели (</w:t>
            </w:r>
            <w:r>
              <w:rPr>
                <w:rFonts w:cs="Times New Roman" w:ascii="Times New Roman" w:hAnsi="Times New Roman"/>
                <w:iCs/>
                <w:sz w:val="20"/>
                <w:szCs w:val="20"/>
              </w:rPr>
              <w:t>исключая крестьянские (фермерские) хозяйства</w:t>
            </w:r>
            <w:r>
              <w:rPr>
                <w:rFonts w:cs="Times New Roman" w:ascii="Times New Roman" w:hAnsi="Times New Roman"/>
                <w:sz w:val="20"/>
                <w:szCs w:val="20"/>
              </w:rPr>
              <w:t>)</w:t>
            </w:r>
          </w:p>
        </w:tc>
        <w:tc>
          <w:tcPr>
            <w:tcW w:w="1217"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1792</w:t>
            </w:r>
          </w:p>
        </w:tc>
        <w:tc>
          <w:tcPr>
            <w:tcW w:w="1361"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92"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2231</w:t>
            </w:r>
          </w:p>
        </w:tc>
        <w:tc>
          <w:tcPr>
            <w:tcW w:w="1269"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21012</w:t>
            </w:r>
          </w:p>
        </w:tc>
        <w:tc>
          <w:tcPr>
            <w:tcW w:w="1178"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1399</w:t>
            </w:r>
          </w:p>
        </w:tc>
        <w:tc>
          <w:tcPr>
            <w:tcW w:w="959"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2059</w:t>
            </w:r>
          </w:p>
        </w:tc>
        <w:tc>
          <w:tcPr>
            <w:tcW w:w="1176"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69"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7"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4"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lang w:val="en-US"/>
              </w:rPr>
              <w:t>-</w:t>
            </w:r>
          </w:p>
        </w:tc>
      </w:tr>
      <w:tr>
        <w:trPr>
          <w:trHeight w:val="300" w:hRule="atLeast"/>
        </w:trPr>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11.</w:t>
            </w:r>
          </w:p>
        </w:tc>
        <w:tc>
          <w:tcPr>
            <w:tcW w:w="3011" w:type="dxa"/>
            <w:tcBorders>
              <w:top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Другие цели</w:t>
            </w:r>
          </w:p>
        </w:tc>
        <w:tc>
          <w:tcPr>
            <w:tcW w:w="1217"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14427</w:t>
            </w:r>
          </w:p>
        </w:tc>
        <w:tc>
          <w:tcPr>
            <w:tcW w:w="1361"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208</w:t>
            </w:r>
          </w:p>
        </w:tc>
        <w:tc>
          <w:tcPr>
            <w:tcW w:w="1292"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15702</w:t>
            </w:r>
          </w:p>
        </w:tc>
        <w:tc>
          <w:tcPr>
            <w:tcW w:w="1269"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2058</w:t>
            </w:r>
          </w:p>
        </w:tc>
        <w:tc>
          <w:tcPr>
            <w:tcW w:w="1178"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1716</w:t>
            </w:r>
          </w:p>
        </w:tc>
        <w:tc>
          <w:tcPr>
            <w:tcW w:w="959"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713</w:t>
            </w:r>
          </w:p>
        </w:tc>
        <w:tc>
          <w:tcPr>
            <w:tcW w:w="1176"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135</w:t>
            </w:r>
          </w:p>
        </w:tc>
        <w:tc>
          <w:tcPr>
            <w:tcW w:w="1169"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w:t>
            </w:r>
          </w:p>
        </w:tc>
        <w:tc>
          <w:tcPr>
            <w:tcW w:w="1177"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4"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750" w:hRule="atLeast"/>
        </w:trPr>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12</w:t>
            </w:r>
          </w:p>
        </w:tc>
        <w:tc>
          <w:tcPr>
            <w:tcW w:w="3011" w:type="dxa"/>
            <w:tcBorders>
              <w:top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eastAsia="en-US" w:bidi="en-US"/>
              </w:rPr>
            </w:pPr>
            <w:r>
              <w:rPr>
                <w:rFonts w:cs="Times New Roman" w:ascii="Times New Roman" w:hAnsi="Times New Roman"/>
                <w:sz w:val="20"/>
                <w:szCs w:val="20"/>
              </w:rPr>
              <w:t>Земельные участки, предоставленные для сельскохозяйственного производства, в том числе:</w:t>
            </w:r>
          </w:p>
        </w:tc>
        <w:tc>
          <w:tcPr>
            <w:tcW w:w="1217"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1386</w:t>
            </w:r>
          </w:p>
        </w:tc>
        <w:tc>
          <w:tcPr>
            <w:tcW w:w="1361"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92"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2473</w:t>
            </w:r>
          </w:p>
        </w:tc>
        <w:tc>
          <w:tcPr>
            <w:tcW w:w="1269"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109665</w:t>
            </w:r>
          </w:p>
        </w:tc>
        <w:tc>
          <w:tcPr>
            <w:tcW w:w="1178"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2374</w:t>
            </w:r>
          </w:p>
        </w:tc>
        <w:tc>
          <w:tcPr>
            <w:tcW w:w="959"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105360</w:t>
            </w:r>
          </w:p>
        </w:tc>
        <w:tc>
          <w:tcPr>
            <w:tcW w:w="1176"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69"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7"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4" w:type="dxa"/>
            <w:tcBorders>
              <w:top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lang w:val="en-US"/>
              </w:rPr>
              <w:t>-</w:t>
            </w:r>
          </w:p>
        </w:tc>
      </w:tr>
      <w:tr>
        <w:trPr>
          <w:trHeight w:val="495" w:hRule="atLeast"/>
        </w:trPr>
        <w:tc>
          <w:tcPr>
            <w:tcW w:w="782" w:type="dxa"/>
            <w:tcBorders>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12.1</w:t>
            </w:r>
          </w:p>
        </w:tc>
        <w:tc>
          <w:tcPr>
            <w:tcW w:w="3011" w:type="dxa"/>
            <w:tcBorders>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оленеводческим и промысловым хозяйствам</w:t>
            </w:r>
          </w:p>
        </w:tc>
        <w:tc>
          <w:tcPr>
            <w:tcW w:w="121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c>
          <w:tcPr>
            <w:tcW w:w="1361"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92"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8"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6"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4"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lang w:val="en-US"/>
              </w:rPr>
              <w:t>-</w:t>
            </w:r>
          </w:p>
        </w:tc>
      </w:tr>
      <w:tr>
        <w:trPr>
          <w:trHeight w:val="300" w:hRule="atLeast"/>
        </w:trPr>
        <w:tc>
          <w:tcPr>
            <w:tcW w:w="782" w:type="dxa"/>
            <w:tcBorders>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13</w:t>
            </w:r>
          </w:p>
        </w:tc>
        <w:tc>
          <w:tcPr>
            <w:tcW w:w="3011" w:type="dxa"/>
            <w:tcBorders>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Земельные доли граждан - всего</w:t>
            </w:r>
          </w:p>
        </w:tc>
        <w:tc>
          <w:tcPr>
            <w:tcW w:w="121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42316</w:t>
            </w:r>
          </w:p>
        </w:tc>
        <w:tc>
          <w:tcPr>
            <w:tcW w:w="1361"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92"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9343</w:t>
            </w:r>
          </w:p>
        </w:tc>
        <w:tc>
          <w:tcPr>
            <w:tcW w:w="12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389204</w:t>
            </w:r>
          </w:p>
        </w:tc>
        <w:tc>
          <w:tcPr>
            <w:tcW w:w="1178"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9343</w:t>
            </w:r>
          </w:p>
        </w:tc>
        <w:tc>
          <w:tcPr>
            <w:tcW w:w="959" w:type="dxa"/>
            <w:tcBorders>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389204</w:t>
            </w:r>
          </w:p>
        </w:tc>
        <w:tc>
          <w:tcPr>
            <w:tcW w:w="1176"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4"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lang w:val="en-US"/>
              </w:rPr>
              <w:t>-</w:t>
            </w:r>
          </w:p>
        </w:tc>
      </w:tr>
      <w:tr>
        <w:trPr>
          <w:trHeight w:val="375" w:hRule="atLeast"/>
        </w:trPr>
        <w:tc>
          <w:tcPr>
            <w:tcW w:w="782" w:type="dxa"/>
            <w:tcBorders>
              <w:left w:val="single" w:sz="4" w:space="0" w:color="000000"/>
              <w:bottom w:val="single" w:sz="4" w:space="0" w:color="000000"/>
              <w:right w:val="single" w:sz="4" w:space="0" w:color="000000"/>
            </w:tcBorders>
          </w:tcPr>
          <w:p>
            <w:pPr>
              <w:pStyle w:val="Normal"/>
              <w:widowControl w:val="false"/>
              <w:spacing w:lineRule="auto" w:line="240" w:before="0" w:after="200"/>
              <w:contextualSpacing/>
              <w:jc w:val="center"/>
              <w:rPr>
                <w:rFonts w:ascii="Times New Roman" w:hAnsi="Times New Roman" w:cs="Times New Roman"/>
                <w:b/>
                <w:b/>
                <w:sz w:val="20"/>
                <w:szCs w:val="20"/>
                <w:lang w:val="en-US" w:eastAsia="en-US" w:bidi="en-US"/>
              </w:rPr>
            </w:pPr>
            <w:r>
              <w:rPr>
                <w:rFonts w:cs="Times New Roman" w:ascii="Times New Roman" w:hAnsi="Times New Roman"/>
                <w:b/>
                <w:sz w:val="20"/>
                <w:szCs w:val="20"/>
              </w:rPr>
              <w:t>14</w:t>
            </w:r>
          </w:p>
        </w:tc>
        <w:tc>
          <w:tcPr>
            <w:tcW w:w="3011" w:type="dxa"/>
            <w:tcBorders>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b/>
                <w:b/>
                <w:sz w:val="20"/>
                <w:szCs w:val="20"/>
                <w:lang w:val="en-US" w:eastAsia="en-US" w:bidi="en-US"/>
              </w:rPr>
            </w:pPr>
            <w:r>
              <w:rPr>
                <w:rFonts w:cs="Times New Roman" w:ascii="Times New Roman" w:hAnsi="Times New Roman"/>
                <w:b/>
                <w:sz w:val="20"/>
                <w:szCs w:val="20"/>
              </w:rPr>
              <w:t>Итого</w:t>
            </w:r>
          </w:p>
        </w:tc>
        <w:tc>
          <w:tcPr>
            <w:tcW w:w="121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580313</w:t>
            </w:r>
          </w:p>
        </w:tc>
        <w:tc>
          <w:tcPr>
            <w:tcW w:w="1361"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1731</w:t>
            </w:r>
          </w:p>
        </w:tc>
        <w:tc>
          <w:tcPr>
            <w:tcW w:w="1292"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555114</w:t>
            </w:r>
          </w:p>
        </w:tc>
        <w:tc>
          <w:tcPr>
            <w:tcW w:w="12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807897</w:t>
            </w:r>
          </w:p>
        </w:tc>
        <w:tc>
          <w:tcPr>
            <w:tcW w:w="1178"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332413</w:t>
            </w:r>
          </w:p>
        </w:tc>
        <w:tc>
          <w:tcPr>
            <w:tcW w:w="95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634104</w:t>
            </w:r>
          </w:p>
        </w:tc>
        <w:tc>
          <w:tcPr>
            <w:tcW w:w="1176"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7022</w:t>
            </w:r>
          </w:p>
        </w:tc>
        <w:tc>
          <w:tcPr>
            <w:tcW w:w="1169"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2680</w:t>
            </w:r>
          </w:p>
        </w:tc>
        <w:tc>
          <w:tcPr>
            <w:tcW w:w="1177"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7990</w:t>
            </w:r>
          </w:p>
        </w:tc>
        <w:tc>
          <w:tcPr>
            <w:tcW w:w="994" w:type="dxa"/>
            <w:tcBorders>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3282</w:t>
            </w:r>
          </w:p>
        </w:tc>
      </w:tr>
    </w:tbl>
    <w:p>
      <w:pPr>
        <w:pStyle w:val="Normal"/>
        <w:spacing w:lineRule="auto" w:line="240" w:before="0" w:after="200"/>
        <w:ind w:right="-425" w:hanging="0"/>
        <w:contextualSpacing/>
        <w:jc w:val="right"/>
        <w:rPr>
          <w:rFonts w:ascii="Times New Roman" w:hAnsi="Times New Roman" w:cs="Times New Roman"/>
          <w:sz w:val="20"/>
          <w:szCs w:val="20"/>
          <w:lang w:val="en-US" w:eastAsia="en-US" w:bidi="en-US"/>
        </w:rPr>
      </w:pPr>
      <w:r>
        <w:br w:type="page"/>
      </w:r>
      <w:r>
        <w:rPr>
          <w:rFonts w:cs="Times New Roman" w:ascii="Times New Roman" w:hAnsi="Times New Roman"/>
          <w:sz w:val="20"/>
          <w:szCs w:val="20"/>
        </w:rPr>
        <w:t xml:space="preserve"> </w:t>
      </w:r>
      <w:r>
        <w:rPr>
          <w:rFonts w:cs="Times New Roman" w:ascii="Times New Roman" w:hAnsi="Times New Roman"/>
          <w:sz w:val="20"/>
          <w:szCs w:val="20"/>
        </w:rPr>
        <w:t>(продолжение Приложения № 4)</w:t>
      </w:r>
    </w:p>
    <w:p>
      <w:pPr>
        <w:pStyle w:val="Normal"/>
        <w:spacing w:lineRule="auto" w:line="240" w:before="0" w:after="200"/>
        <w:ind w:right="-425" w:hanging="0"/>
        <w:contextualSpacing/>
        <w:jc w:val="right"/>
        <w:rPr>
          <w:rFonts w:ascii="Times New Roman" w:hAnsi="Times New Roman" w:cs="Times New Roman"/>
          <w:sz w:val="20"/>
          <w:szCs w:val="20"/>
        </w:rPr>
      </w:pPr>
      <w:r>
        <w:rPr>
          <w:rFonts w:cs="Times New Roman" w:ascii="Times New Roman" w:hAnsi="Times New Roman"/>
          <w:sz w:val="20"/>
          <w:szCs w:val="20"/>
        </w:rPr>
      </w:r>
    </w:p>
    <w:tbl>
      <w:tblPr>
        <w:tblW w:w="1592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614"/>
        <w:gridCol w:w="2478"/>
        <w:gridCol w:w="1338"/>
        <w:gridCol w:w="993"/>
        <w:gridCol w:w="1179"/>
        <w:gridCol w:w="996"/>
        <w:gridCol w:w="1346"/>
        <w:gridCol w:w="957"/>
        <w:gridCol w:w="1178"/>
        <w:gridCol w:w="956"/>
        <w:gridCol w:w="1213"/>
        <w:gridCol w:w="1113"/>
        <w:gridCol w:w="1562"/>
      </w:tblGrid>
      <w:tr>
        <w:trPr>
          <w:trHeight w:val="255" w:hRule="atLeast"/>
        </w:trPr>
        <w:tc>
          <w:tcPr>
            <w:tcW w:w="61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 xml:space="preserve">№№ </w:t>
            </w:r>
            <w:r>
              <w:rPr>
                <w:rFonts w:cs="Times New Roman" w:ascii="Times New Roman" w:hAnsi="Times New Roman"/>
                <w:sz w:val="20"/>
                <w:szCs w:val="20"/>
              </w:rPr>
              <w:t>п.п.</w:t>
            </w:r>
          </w:p>
        </w:tc>
        <w:tc>
          <w:tcPr>
            <w:tcW w:w="24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eastAsia="en-US" w:bidi="en-US"/>
              </w:rPr>
            </w:pPr>
            <w:r>
              <w:rPr>
                <w:rFonts w:cs="Times New Roman" w:ascii="Times New Roman" w:hAnsi="Times New Roman"/>
                <w:sz w:val="20"/>
                <w:szCs w:val="20"/>
              </w:rPr>
              <w:t xml:space="preserve">Наименование </w:t>
              <w:br/>
              <w:t xml:space="preserve">хозяйствующих </w:t>
              <w:br/>
              <w:t xml:space="preserve">субъектов или цели предоставления </w:t>
              <w:br/>
              <w:t>земельных участков</w:t>
            </w:r>
          </w:p>
        </w:tc>
        <w:tc>
          <w:tcPr>
            <w:tcW w:w="8943" w:type="dxa"/>
            <w:gridSpan w:val="8"/>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eastAsia="en-US" w:bidi="en-US"/>
              </w:rPr>
            </w:pPr>
            <w:r>
              <w:rPr>
                <w:rFonts w:cs="Times New Roman" w:ascii="Times New Roman" w:hAnsi="Times New Roman"/>
                <w:sz w:val="20"/>
                <w:szCs w:val="20"/>
              </w:rPr>
              <w:t>в том числе находящихся на праве</w:t>
            </w:r>
          </w:p>
        </w:tc>
        <w:tc>
          <w:tcPr>
            <w:tcW w:w="232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eastAsia="en-US" w:bidi="en-US"/>
              </w:rPr>
            </w:pPr>
            <w:r>
              <w:rPr>
                <w:rFonts w:cs="Times New Roman" w:ascii="Times New Roman" w:hAnsi="Times New Roman"/>
                <w:sz w:val="20"/>
                <w:szCs w:val="20"/>
              </w:rPr>
              <w:t>Из всех земель право на земельные участки оформлено в установленном ном порядке (сведения внесены в ЕГРП)</w:t>
            </w:r>
          </w:p>
        </w:tc>
        <w:tc>
          <w:tcPr>
            <w:tcW w:w="156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eastAsia="en-US" w:bidi="en-US"/>
              </w:rPr>
            </w:pPr>
            <w:r>
              <w:rPr>
                <w:rFonts w:cs="Times New Roman" w:ascii="Times New Roman" w:hAnsi="Times New Roman"/>
                <w:sz w:val="20"/>
                <w:szCs w:val="20"/>
              </w:rPr>
              <w:t xml:space="preserve">Количество заявок на предоставление </w:t>
              <w:br/>
              <w:t>земельных участков</w:t>
            </w:r>
          </w:p>
        </w:tc>
      </w:tr>
      <w:tr>
        <w:trPr>
          <w:trHeight w:val="255" w:hRule="atLeast"/>
        </w:trPr>
        <w:tc>
          <w:tcPr>
            <w:tcW w:w="6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c>
          <w:tcPr>
            <w:tcW w:w="24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c>
          <w:tcPr>
            <w:tcW w:w="233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eastAsia="en-US" w:bidi="en-US"/>
              </w:rPr>
            </w:pPr>
            <w:r>
              <w:rPr>
                <w:rFonts w:cs="Times New Roman" w:ascii="Times New Roman" w:hAnsi="Times New Roman"/>
                <w:sz w:val="20"/>
                <w:szCs w:val="20"/>
              </w:rPr>
              <w:t xml:space="preserve">постоянного </w:t>
              <w:br/>
              <w:t xml:space="preserve">бессрочного) </w:t>
              <w:br/>
              <w:t>пользования у граждан</w:t>
            </w:r>
          </w:p>
        </w:tc>
        <w:tc>
          <w:tcPr>
            <w:tcW w:w="217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аренды</w:t>
            </w:r>
          </w:p>
        </w:tc>
        <w:tc>
          <w:tcPr>
            <w:tcW w:w="230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eastAsia="en-US" w:bidi="en-US"/>
              </w:rPr>
            </w:pPr>
            <w:r>
              <w:rPr>
                <w:rFonts w:cs="Times New Roman" w:ascii="Times New Roman" w:hAnsi="Times New Roman"/>
                <w:sz w:val="20"/>
                <w:szCs w:val="20"/>
              </w:rPr>
              <w:t xml:space="preserve">безвозмездного </w:t>
              <w:br/>
              <w:t xml:space="preserve">срочного пользования (временного </w:t>
              <w:br/>
              <w:t>пользования)</w:t>
            </w:r>
          </w:p>
        </w:tc>
        <w:tc>
          <w:tcPr>
            <w:tcW w:w="213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eastAsia="en-US" w:bidi="en-US"/>
              </w:rPr>
            </w:pPr>
            <w:r>
              <w:rPr>
                <w:rFonts w:cs="Times New Roman" w:ascii="Times New Roman" w:hAnsi="Times New Roman"/>
                <w:sz w:val="20"/>
                <w:szCs w:val="20"/>
              </w:rPr>
              <w:t xml:space="preserve">не имеется </w:t>
              <w:br/>
              <w:t>документов оснований на использование земельного участка</w:t>
            </w:r>
          </w:p>
        </w:tc>
        <w:tc>
          <w:tcPr>
            <w:tcW w:w="232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c>
          <w:tcPr>
            <w:tcW w:w="1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r>
      <w:tr>
        <w:trPr>
          <w:trHeight w:val="255" w:hRule="atLeast"/>
        </w:trPr>
        <w:tc>
          <w:tcPr>
            <w:tcW w:w="6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c>
          <w:tcPr>
            <w:tcW w:w="24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c>
          <w:tcPr>
            <w:tcW w:w="13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количество участков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Площадь</w:t>
            </w:r>
          </w:p>
        </w:tc>
        <w:tc>
          <w:tcPr>
            <w:tcW w:w="11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количество участков</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Площадь</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количество участков</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площадь</w:t>
            </w:r>
          </w:p>
        </w:tc>
        <w:tc>
          <w:tcPr>
            <w:tcW w:w="11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количество участков</w:t>
            </w:r>
          </w:p>
        </w:tc>
        <w:tc>
          <w:tcPr>
            <w:tcW w:w="9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площадь</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количество участков</w:t>
            </w:r>
          </w:p>
        </w:tc>
        <w:tc>
          <w:tcPr>
            <w:tcW w:w="11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площадь</w:t>
            </w:r>
          </w:p>
        </w:tc>
        <w:tc>
          <w:tcPr>
            <w:tcW w:w="1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cs="Times New Roman"/>
                <w:sz w:val="20"/>
                <w:szCs w:val="20"/>
                <w:lang w:eastAsia="en-US" w:bidi="en-US"/>
              </w:rPr>
            </w:pPr>
            <w:r>
              <w:rPr>
                <w:rFonts w:cs="Times New Roman" w:ascii="Times New Roman" w:hAnsi="Times New Roman"/>
                <w:sz w:val="20"/>
                <w:szCs w:val="20"/>
                <w:lang w:eastAsia="en-US" w:bidi="en-US"/>
              </w:rPr>
            </w:r>
          </w:p>
        </w:tc>
      </w:tr>
      <w:tr>
        <w:trPr>
          <w:trHeight w:val="255" w:hRule="atLeast"/>
        </w:trPr>
        <w:tc>
          <w:tcPr>
            <w:tcW w:w="61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А</w:t>
            </w:r>
          </w:p>
        </w:tc>
        <w:tc>
          <w:tcPr>
            <w:tcW w:w="24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Б</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11</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12</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13</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14</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15</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16</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17</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18</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19</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20</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200"/>
              <w:contextualSpacing/>
              <w:jc w:val="center"/>
              <w:rPr>
                <w:rFonts w:ascii="Times New Roman" w:hAnsi="Times New Roman" w:cs="Times New Roman"/>
                <w:sz w:val="20"/>
                <w:szCs w:val="20"/>
                <w:lang w:val="en-US" w:eastAsia="en-US" w:bidi="en-US"/>
              </w:rPr>
            </w:pPr>
            <w:r>
              <w:rPr>
                <w:rFonts w:cs="Times New Roman" w:ascii="Times New Roman" w:hAnsi="Times New Roman"/>
                <w:sz w:val="20"/>
                <w:szCs w:val="20"/>
              </w:rPr>
              <w:t>21</w:t>
            </w:r>
          </w:p>
        </w:tc>
      </w:tr>
      <w:tr>
        <w:trPr>
          <w:trHeight w:val="495"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1.</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eastAsia="en-US" w:bidi="en-US"/>
              </w:rPr>
            </w:pPr>
            <w:r>
              <w:rPr>
                <w:rFonts w:cs="Times New Roman" w:ascii="Times New Roman" w:hAnsi="Times New Roman"/>
                <w:sz w:val="20"/>
                <w:szCs w:val="20"/>
              </w:rPr>
              <w:t>Крестьянское (фермерское) хозяйство, в том числе:</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110</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1800</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811</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63855</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lang w:val="en-US"/>
              </w:rPr>
              <w:t>-</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3205</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104422</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lang w:val="en-US"/>
              </w:rPr>
              <w:t>-</w:t>
            </w:r>
          </w:p>
        </w:tc>
      </w:tr>
      <w:tr>
        <w:trPr>
          <w:trHeight w:val="765"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1.1.</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eastAsia="en-US" w:bidi="en-US"/>
              </w:rPr>
            </w:pPr>
            <w:r>
              <w:rPr>
                <w:rFonts w:cs="Times New Roman" w:ascii="Times New Roman" w:hAnsi="Times New Roman"/>
                <w:sz w:val="20"/>
                <w:szCs w:val="20"/>
              </w:rPr>
              <w:t>оленеводческое и промысловое крестьянское (фермерское) хозяйство</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300"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2.</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Личное подсобное хозяйство</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22895</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10323</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16977</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22170</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81724</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63012</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300"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3.</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Служебный надел</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66</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46</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495"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4.</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Садовод и садоводческое объединение</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28007</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4357</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372</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518</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7902</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561</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216044</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22762</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495"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5.</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Огородник и огородническое объединение</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7688</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2699</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25565</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2769</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3271</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1434</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33670</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5677</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495"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6.</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Животновод и животноводческое объединение</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4</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149</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199</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1992</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43</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890</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269</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4647</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300"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7.</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Дачник и дачное объединение</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1912</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385</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2732</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502</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682"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8.</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eastAsia="en-US" w:bidi="en-US"/>
              </w:rPr>
            </w:pPr>
            <w:r>
              <w:rPr>
                <w:rFonts w:cs="Times New Roman" w:ascii="Times New Roman" w:hAnsi="Times New Roman"/>
                <w:sz w:val="20"/>
                <w:szCs w:val="20"/>
              </w:rPr>
              <w:t>Граждане, имеющие земельные участки, предоставленные для ИЖС</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22315</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2528</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9282</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2637</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12719</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2887</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95280</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14360</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495"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9.</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eastAsia="en-US" w:bidi="en-US"/>
              </w:rPr>
            </w:pPr>
            <w:r>
              <w:rPr>
                <w:rFonts w:cs="Times New Roman" w:ascii="Times New Roman" w:hAnsi="Times New Roman"/>
                <w:sz w:val="20"/>
                <w:szCs w:val="20"/>
              </w:rPr>
              <w:t>Граждане, занимающиеся сенокошением и выпасом скота</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3</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1815</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2200</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15821</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2412</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3591</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2180</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15418</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750"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10.</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eastAsia="en-US" w:bidi="en-US"/>
              </w:rPr>
            </w:pPr>
            <w:r>
              <w:rPr>
                <w:rFonts w:cs="Times New Roman" w:ascii="Times New Roman" w:hAnsi="Times New Roman"/>
                <w:sz w:val="20"/>
                <w:szCs w:val="20"/>
              </w:rPr>
              <w:t>Индивидуальные предприниматели (</w:t>
            </w:r>
            <w:r>
              <w:rPr>
                <w:rFonts w:cs="Times New Roman" w:ascii="Times New Roman" w:hAnsi="Times New Roman"/>
                <w:iCs/>
                <w:sz w:val="20"/>
                <w:szCs w:val="20"/>
              </w:rPr>
              <w:t>исключая крестьянские (фермерские) хозяйства)</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10</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5</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765</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18948</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1290</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10911</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300"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11.</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Другие цели</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10022</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30</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2139</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181</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993</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1110</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667</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23</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2343</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111</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750"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12.</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eastAsia="en-US" w:bidi="en-US"/>
              </w:rPr>
            </w:pPr>
            <w:r>
              <w:rPr>
                <w:rFonts w:cs="Times New Roman" w:ascii="Times New Roman" w:hAnsi="Times New Roman"/>
                <w:sz w:val="20"/>
                <w:szCs w:val="20"/>
              </w:rPr>
              <w:t>Земельные участки, предоставленные для сельскохозяйственного производства, в том числе:</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99</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4305</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1705</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90524</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495"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12.1.</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оленеводческим и промысловым хозяйствам</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300"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13.</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sz w:val="20"/>
                <w:szCs w:val="20"/>
                <w:lang w:val="en-US" w:eastAsia="en-US" w:bidi="en-US"/>
              </w:rPr>
            </w:pPr>
            <w:r>
              <w:rPr>
                <w:rFonts w:cs="Times New Roman" w:ascii="Times New Roman" w:hAnsi="Times New Roman"/>
                <w:sz w:val="20"/>
                <w:szCs w:val="20"/>
              </w:rPr>
              <w:t>Земельные доли граждан - всего</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lang w:val="en-US"/>
              </w:rPr>
              <w:t>-</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9000</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rPr>
            </w:pPr>
            <w:r>
              <w:rPr>
                <w:rFonts w:cs="Times New Roman" w:ascii="Times New Roman" w:hAnsi="Times New Roman"/>
                <w:sz w:val="20"/>
                <w:szCs w:val="20"/>
              </w:rPr>
              <w:t>382100</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sz w:val="20"/>
                <w:szCs w:val="20"/>
                <w:lang w:val="en-US"/>
              </w:rPr>
            </w:pPr>
            <w:r>
              <w:rPr>
                <w:rFonts w:cs="Times New Roman" w:ascii="Times New Roman" w:hAnsi="Times New Roman"/>
                <w:sz w:val="20"/>
                <w:szCs w:val="20"/>
              </w:rPr>
              <w:t> </w:t>
            </w:r>
            <w:r>
              <w:rPr>
                <w:rFonts w:cs="Times New Roman" w:ascii="Times New Roman" w:hAnsi="Times New Roman"/>
                <w:sz w:val="20"/>
                <w:szCs w:val="20"/>
                <w:lang w:val="en-US"/>
              </w:rPr>
              <w:t>-</w:t>
            </w:r>
          </w:p>
        </w:tc>
      </w:tr>
      <w:tr>
        <w:trPr>
          <w:trHeight w:val="375" w:hRule="atLeast"/>
        </w:trPr>
        <w:tc>
          <w:tcPr>
            <w:tcW w:w="6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b/>
                <w:b/>
                <w:sz w:val="20"/>
                <w:szCs w:val="20"/>
                <w:lang w:val="en-US" w:eastAsia="en-US" w:bidi="en-US"/>
              </w:rPr>
            </w:pPr>
            <w:r>
              <w:rPr>
                <w:rFonts w:cs="Times New Roman" w:ascii="Times New Roman" w:hAnsi="Times New Roman"/>
                <w:b/>
                <w:sz w:val="20"/>
                <w:szCs w:val="20"/>
              </w:rPr>
              <w:t>14.</w:t>
            </w:r>
          </w:p>
        </w:tc>
        <w:tc>
          <w:tcPr>
            <w:tcW w:w="24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contextualSpacing/>
              <w:rPr>
                <w:rFonts w:ascii="Times New Roman" w:hAnsi="Times New Roman" w:cs="Times New Roman"/>
                <w:b/>
                <w:b/>
                <w:sz w:val="20"/>
                <w:szCs w:val="20"/>
                <w:lang w:val="en-US" w:eastAsia="en-US" w:bidi="en-US"/>
              </w:rPr>
            </w:pPr>
            <w:r>
              <w:rPr>
                <w:rFonts w:cs="Times New Roman" w:ascii="Times New Roman" w:hAnsi="Times New Roman"/>
                <w:b/>
                <w:sz w:val="20"/>
                <w:szCs w:val="20"/>
              </w:rPr>
              <w:t>Итого</w:t>
            </w:r>
          </w:p>
        </w:tc>
        <w:tc>
          <w:tcPr>
            <w:tcW w:w="133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91120</w:t>
            </w:r>
          </w:p>
        </w:tc>
        <w:tc>
          <w:tcPr>
            <w:tcW w:w="99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23752</w:t>
            </w:r>
          </w:p>
        </w:tc>
        <w:tc>
          <w:tcPr>
            <w:tcW w:w="117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60321</w:t>
            </w:r>
          </w:p>
        </w:tc>
        <w:tc>
          <w:tcPr>
            <w:tcW w:w="99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133581</w:t>
            </w:r>
          </w:p>
        </w:tc>
        <w:tc>
          <w:tcPr>
            <w:tcW w:w="134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995</w:t>
            </w:r>
          </w:p>
        </w:tc>
        <w:tc>
          <w:tcPr>
            <w:tcW w:w="95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1112</w:t>
            </w:r>
          </w:p>
        </w:tc>
        <w:tc>
          <w:tcPr>
            <w:tcW w:w="11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27014</w:t>
            </w:r>
          </w:p>
        </w:tc>
        <w:tc>
          <w:tcPr>
            <w:tcW w:w="95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9386</w:t>
            </w:r>
          </w:p>
        </w:tc>
        <w:tc>
          <w:tcPr>
            <w:tcW w:w="12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449442</w:t>
            </w:r>
          </w:p>
        </w:tc>
        <w:tc>
          <w:tcPr>
            <w:tcW w:w="1113"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rPr>
            </w:pPr>
            <w:r>
              <w:rPr>
                <w:rFonts w:cs="Times New Roman" w:ascii="Times New Roman" w:hAnsi="Times New Roman"/>
                <w:b/>
                <w:sz w:val="20"/>
                <w:szCs w:val="20"/>
              </w:rPr>
              <w:t>714446</w:t>
            </w:r>
          </w:p>
        </w:tc>
        <w:tc>
          <w:tcPr>
            <w:tcW w:w="156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right"/>
              <w:rPr>
                <w:rFonts w:ascii="Times New Roman" w:hAnsi="Times New Roman" w:cs="Times New Roman"/>
                <w:b/>
                <w:b/>
                <w:sz w:val="20"/>
                <w:szCs w:val="20"/>
                <w:lang w:val="en-US"/>
              </w:rPr>
            </w:pPr>
            <w:r>
              <w:rPr>
                <w:rFonts w:cs="Times New Roman" w:ascii="Times New Roman" w:hAnsi="Times New Roman"/>
                <w:b/>
                <w:sz w:val="20"/>
                <w:szCs w:val="20"/>
              </w:rPr>
              <w:t> </w:t>
            </w:r>
            <w:r>
              <w:rPr>
                <w:rFonts w:cs="Times New Roman" w:ascii="Times New Roman" w:hAnsi="Times New Roman"/>
                <w:b/>
                <w:sz w:val="20"/>
                <w:szCs w:val="20"/>
                <w:lang w:val="en-US"/>
              </w:rPr>
              <w:t>-</w:t>
            </w:r>
          </w:p>
        </w:tc>
      </w:tr>
    </w:tbl>
    <w:p>
      <w:pPr>
        <w:pStyle w:val="Normal"/>
        <w:rPr/>
      </w:pPr>
      <w:r>
        <w:rPr/>
      </w:r>
    </w:p>
    <w:p>
      <w:pPr>
        <w:pStyle w:val="Normal"/>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jc w:val="right"/>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jc w:val="right"/>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jc w:val="right"/>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sz w:val="28"/>
          <w:szCs w:val="28"/>
        </w:rPr>
      </w:pPr>
      <w:r>
        <w:rPr>
          <w:rFonts w:cs="Times New Roman" w:ascii="Times New Roman" w:hAnsi="Times New Roman"/>
          <w:sz w:val="28"/>
          <w:szCs w:val="28"/>
        </w:rPr>
        <w:t>Приложение № 5</w:t>
      </w:r>
    </w:p>
    <w:p>
      <w:pPr>
        <w:pStyle w:val="Normal"/>
        <w:jc w:val="center"/>
        <w:rPr>
          <w:rFonts w:ascii="Times New Roman" w:hAnsi="Times New Roman" w:cs="Times New Roman"/>
          <w:b/>
          <w:b/>
          <w:sz w:val="24"/>
          <w:szCs w:val="24"/>
        </w:rPr>
      </w:pPr>
      <w:r>
        <w:rPr>
          <w:rFonts w:cs="Times New Roman" w:ascii="Times New Roman" w:hAnsi="Times New Roman"/>
          <w:b/>
          <w:sz w:val="24"/>
          <w:szCs w:val="24"/>
        </w:rPr>
        <w:t>Общие сведения о кадастровом делении Приморского края</w:t>
      </w:r>
    </w:p>
    <w:tbl>
      <w:tblPr>
        <w:tblW w:w="1467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126"/>
        <w:gridCol w:w="1417"/>
        <w:gridCol w:w="3261"/>
        <w:gridCol w:w="2408"/>
        <w:gridCol w:w="1701"/>
        <w:gridCol w:w="1581"/>
        <w:gridCol w:w="2182"/>
      </w:tblGrid>
      <w:tr>
        <w:trPr>
          <w:cantSplit w:val="true"/>
        </w:trPr>
        <w:tc>
          <w:tcPr>
            <w:tcW w:w="21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Номера и наименования кадастровых районов в кадастровом округе</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Количество кадастровых кварталов в кадастровых районах</w:t>
            </w:r>
          </w:p>
        </w:tc>
        <w:tc>
          <w:tcPr>
            <w:tcW w:w="326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Реквизиты приказов об утверждении кадастрового деления/ количество утвержденных ими схем</w:t>
            </w:r>
          </w:p>
        </w:tc>
        <w:tc>
          <w:tcPr>
            <w:tcW w:w="240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Реквизиты приказов об изменении кадастрового деления</w:t>
            </w:r>
          </w:p>
        </w:tc>
        <w:tc>
          <w:tcPr>
            <w:tcW w:w="3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Наличие в государственном кадастре недвижимости описания местоположения границ кадастровых районов и кадастровых кварталов</w:t>
            </w:r>
          </w:p>
        </w:tc>
        <w:tc>
          <w:tcPr>
            <w:tcW w:w="218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Наличие картографической основы (вид картографического материала, масштабы)</w:t>
            </w:r>
          </w:p>
        </w:tc>
      </w:tr>
      <w:tr>
        <w:trPr>
          <w:cantSplit w:val="true"/>
        </w:trPr>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4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32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24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Текстовое</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Координаты</w:t>
            </w:r>
          </w:p>
        </w:tc>
        <w:tc>
          <w:tcPr>
            <w:tcW w:w="21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3</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5</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6</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7</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01-Анучинский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128</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02- Дальнереченский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111</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03- г. Дальнегорск</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195</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21.05.2001 № 62,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04- Кавалеровский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211</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Управления Ронедвижимости по Приморскому краю от 27.08.2007 № 236</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05- Кировский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86</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Управления Ронедвижимости по Приморскому краю от 17.03.2008 № 55</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06- Красноармейский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120</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07- Лазовский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39</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08- Лесозаводский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48</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09- Михайловский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73</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10- Надеждинский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470</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11- Октябрьский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40</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12- Ольгинский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57</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Управления Ронедвижимости по Приморскому краю от 16.07.2007 № 182</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13- Партизанский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40</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21.05.2001 № 62,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14- Пограничный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91</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21.05.2001 № 62,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15-  Пожарский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60</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16- Спасский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138</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Управления Ронедвижимости по Приморскому краю от 11.09.2007 № 256, от 21.01.2008 № 10</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17- Тернейский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27</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21.05.2001 № 62,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18- Уссурийский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197</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19- Ханкайский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44</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20- Хасанский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76</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Управления Ронедвижимости по Приморскому краю от 01.08.2011 № 207</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21- Хорольский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55</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от 07.12.2001 № 140 Приморского края от 12.07.2001 № 96</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22- Черниговский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33</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23- Чугуевский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59</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24- Шкотовский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97</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25- Яковлевский район</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41</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26- г. Арсеньев</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138</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27- г. Артем</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223</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28- г. Владивосток</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250</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29- г. Дальнереченск</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40</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21.05.2001 № 62,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Управления Ронедвижимости по Приморскому краю от 30.05.2007 № 117</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30- г. Лесозаводск</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17</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31- г. Находка</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50</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21.05.2001 № 62,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32- г. Спасск-Дальний</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37</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21.05.2001 № 62,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Управления Ронедвижимости по Приморскому краю от 21.01.2008 № 10</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33- г. Партизанск</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42</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21.05.2001 № 62,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34- г. Уссурийск</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116</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35- ЗАТО г. Фокино</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18</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r>
        <w:trPr>
          <w:cantSplit w:val="true"/>
        </w:trPr>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36- ЗАТО г. Большой камень</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14</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Приказ Комитета по земельным ресурсам и землеустройству Приморского края от 12.07.2001 № 96, от 07.12.2001 № 140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нет</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да</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Дежурная кадастровая карта</w:t>
            </w:r>
          </w:p>
          <w:p>
            <w:pPr>
              <w:pStyle w:val="Normal"/>
              <w:widowControl w:val="false"/>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Масштаб 1:100000</w:t>
            </w:r>
          </w:p>
        </w:tc>
      </w:tr>
    </w:tbl>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sectPr>
          <w:headerReference w:type="default" r:id="rId121"/>
          <w:footerReference w:type="default" r:id="rId122"/>
          <w:type w:val="nextPage"/>
          <w:pgSz w:orient="landscape" w:w="16838" w:h="11906"/>
          <w:pgMar w:left="1134" w:right="1134" w:gutter="0" w:header="709" w:top="1701" w:footer="709" w:bottom="851"/>
          <w:pgNumType w:fmt="decimal"/>
          <w:formProt w:val="false"/>
          <w:textDirection w:val="lrTb"/>
          <w:docGrid w:type="default" w:linePitch="100" w:charSpace="4096"/>
        </w:sect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right"/>
        <w:rPr>
          <w:rFonts w:ascii="Times New Roman" w:hAnsi="Times New Roman" w:cs="Times New Roman"/>
          <w:sz w:val="28"/>
          <w:szCs w:val="28"/>
        </w:rPr>
      </w:pPr>
      <w:r>
        <w:rPr>
          <w:rFonts w:cs="Times New Roman" w:ascii="Times New Roman" w:hAnsi="Times New Roman"/>
          <w:sz w:val="28"/>
          <w:szCs w:val="28"/>
        </w:rPr>
        <w:t>Приложение № 6</w:t>
      </w:r>
    </w:p>
    <w:p>
      <w:pPr>
        <w:pStyle w:val="NormalWeb"/>
        <w:spacing w:lineRule="auto" w:line="240" w:before="0" w:after="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t>Сведения о количестве заявлений об осуществлени государственного кадастрового учета в 2016 году</w:t>
      </w:r>
    </w:p>
    <w:p>
      <w:pPr>
        <w:sectPr>
          <w:headerReference w:type="default" r:id="rId124"/>
          <w:footerReference w:type="default" r:id="rId125"/>
          <w:type w:val="nextPage"/>
          <w:pgSz w:orient="landscape" w:w="16838" w:h="11906"/>
          <w:pgMar w:left="1134" w:right="1134" w:gutter="0" w:header="709" w:top="1701" w:footer="709" w:bottom="851"/>
          <w:pgNumType w:fmt="decimal"/>
          <w:formProt w:val="false"/>
          <w:textDirection w:val="lrTb"/>
          <w:docGrid w:type="default" w:linePitch="100" w:charSpace="4096"/>
        </w:sectPr>
        <w:pStyle w:val="Normal"/>
        <w:rPr>
          <w:rFonts w:ascii="Times New Roman" w:hAnsi="Times New Roman" w:cs="Times New Roman"/>
        </w:rPr>
      </w:pPr>
      <w:r>
        <w:rPr/>
        <w:drawing>
          <wp:inline distT="0" distB="0" distL="0" distR="0">
            <wp:extent cx="9251950" cy="4832350"/>
            <wp:effectExtent l="0" t="0" r="0" b="0"/>
            <wp:docPr id="37"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3" descr=""/>
                    <pic:cNvPicPr>
                      <a:picLocks noChangeAspect="1" noChangeArrowheads="1"/>
                    </pic:cNvPicPr>
                  </pic:nvPicPr>
                  <pic:blipFill>
                    <a:blip r:embed="rId123"/>
                    <a:stretch>
                      <a:fillRect/>
                    </a:stretch>
                  </pic:blipFill>
                  <pic:spPr bwMode="auto">
                    <a:xfrm>
                      <a:off x="0" y="0"/>
                      <a:ext cx="9251950" cy="4832350"/>
                    </a:xfrm>
                    <a:prstGeom prst="rect">
                      <a:avLst/>
                    </a:prstGeom>
                  </pic:spPr>
                </pic:pic>
              </a:graphicData>
            </a:graphic>
          </wp:inline>
        </w:drawing>
      </w:r>
      <w:r>
        <w:rPr>
          <w:rFonts w:cs="Times New Roman" w:ascii="Times New Roman" w:hAnsi="Times New Roman"/>
        </w:rPr>
        <w:t>*отчет по форме № 1-ГКН не позволяет сформировать данную информацию в разрезе муниципальных образований</w:t>
      </w:r>
    </w:p>
    <w:p>
      <w:pPr>
        <w:pStyle w:val="Normal"/>
        <w:spacing w:lineRule="auto" w:line="360" w:before="0" w:after="0"/>
        <w:jc w:val="right"/>
        <w:rPr>
          <w:rFonts w:ascii="Times New Roman" w:hAnsi="Times New Roman" w:cs="Times New Roman"/>
          <w:sz w:val="28"/>
          <w:szCs w:val="28"/>
        </w:rPr>
      </w:pPr>
      <w:r>
        <w:rPr>
          <w:rFonts w:cs="Times New Roman" w:ascii="Times New Roman" w:hAnsi="Times New Roman"/>
          <w:sz w:val="28"/>
          <w:szCs w:val="28"/>
        </w:rPr>
        <w:t>Приложение № 7</w:t>
      </w:r>
    </w:p>
    <w:p>
      <w:pPr>
        <w:pStyle w:val="Normal"/>
        <w:jc w:val="center"/>
        <w:rPr>
          <w:rFonts w:ascii="Times New Roman" w:hAnsi="Times New Roman" w:cs="Times New Roman"/>
          <w:b/>
          <w:b/>
        </w:rPr>
      </w:pPr>
      <w:r>
        <w:rPr>
          <w:rFonts w:cs="Times New Roman" w:ascii="Times New Roman" w:hAnsi="Times New Roman"/>
          <w:b/>
          <w:sz w:val="26"/>
          <w:szCs w:val="26"/>
        </w:rPr>
        <w:t>Проведение работ по верификации и нормализации баз данных ГКН в кадастровом округе</w:t>
      </w:r>
    </w:p>
    <w:tbl>
      <w:tblPr>
        <w:tblpPr w:bottomFromText="0" w:horzAnchor="margin" w:leftFromText="180" w:rightFromText="180" w:tblpX="0" w:tblpY="2746" w:topFromText="0" w:vertAnchor="page"/>
        <w:tblW w:w="15134"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2376"/>
        <w:gridCol w:w="850"/>
        <w:gridCol w:w="1418"/>
        <w:gridCol w:w="1276"/>
        <w:gridCol w:w="1133"/>
        <w:gridCol w:w="1017"/>
        <w:gridCol w:w="1081"/>
        <w:gridCol w:w="1079"/>
        <w:gridCol w:w="901"/>
        <w:gridCol w:w="883"/>
        <w:gridCol w:w="1081"/>
        <w:gridCol w:w="899"/>
        <w:gridCol w:w="1139"/>
      </w:tblGrid>
      <w:tr>
        <w:trPr>
          <w:trHeight w:val="565" w:hRule="atLeast"/>
        </w:trPr>
        <w:tc>
          <w:tcPr>
            <w:tcW w:w="237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Кадастровый район</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Количество ошибок в районе</w:t>
            </w:r>
          </w:p>
        </w:tc>
        <w:tc>
          <w:tcPr>
            <w:tcW w:w="141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Разрешенное использование по классификатору  и по документу не определено</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Несоответствие статусов исходных и образованных ЗУ</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Не соответствует статусу «ранее учтенный»</w:t>
            </w:r>
          </w:p>
        </w:tc>
        <w:tc>
          <w:tcPr>
            <w:tcW w:w="101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Не соответствует статусу «учтенный»</w:t>
            </w:r>
          </w:p>
        </w:tc>
        <w:tc>
          <w:tcPr>
            <w:tcW w:w="10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Недостаточно адресных характеристик</w:t>
            </w:r>
          </w:p>
        </w:tc>
        <w:tc>
          <w:tcPr>
            <w:tcW w:w="107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Некорректный статус «внесенный»</w:t>
            </w:r>
          </w:p>
        </w:tc>
        <w:tc>
          <w:tcPr>
            <w:tcW w:w="9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Сведения о кадастровой стоимости отсутствуют</w:t>
            </w:r>
          </w:p>
        </w:tc>
        <w:tc>
          <w:tcPr>
            <w:tcW w:w="8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Отсутствуют входящие участки</w:t>
            </w:r>
          </w:p>
        </w:tc>
        <w:tc>
          <w:tcPr>
            <w:tcW w:w="10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Отсутствуют связи с единым землепользованием</w:t>
            </w:r>
          </w:p>
        </w:tc>
        <w:tc>
          <w:tcPr>
            <w:tcW w:w="89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Дата внесения кадастрового номера в ГКН</w:t>
            </w:r>
          </w:p>
        </w:tc>
        <w:tc>
          <w:tcPr>
            <w:tcW w:w="113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Категория земель не установлена</w:t>
            </w:r>
          </w:p>
        </w:tc>
      </w:tr>
      <w:tr>
        <w:trPr>
          <w:trHeight w:val="1200" w:hRule="atLeast"/>
        </w:trPr>
        <w:tc>
          <w:tcPr>
            <w:tcW w:w="23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r>
          </w:p>
        </w:tc>
        <w:tc>
          <w:tcPr>
            <w:tcW w:w="8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41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0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0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0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9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8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0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8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1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r>
      <w:tr>
        <w:trPr>
          <w:trHeight w:val="620" w:hRule="atLeast"/>
        </w:trPr>
        <w:tc>
          <w:tcPr>
            <w:tcW w:w="23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r>
          </w:p>
        </w:tc>
        <w:tc>
          <w:tcPr>
            <w:tcW w:w="8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41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0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0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0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9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8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0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8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c>
          <w:tcPr>
            <w:tcW w:w="11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rPr>
            </w:pPr>
            <w:r>
              <w:rPr>
                <w:rFonts w:cs="Times New Roman" w:ascii="Times New Roman" w:hAnsi="Times New Roman"/>
                <w:b/>
                <w:bCs/>
              </w:rPr>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25:01 Анучинский р-н</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14</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8</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4</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25:02 Дальнереченский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12</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7</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25:03 Дальнегорский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25:04 Кавалеровский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8</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25:05 Кировский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10</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4</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5</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25:06 Красноармейский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5</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25:07 Лазовский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8</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6</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25:08 Лесозаводский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11</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5</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5</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25:09 Михайловский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16</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9</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7</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25:10 Надеждинский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25</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6</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18</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25:11 Октябрьский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9</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8</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25:12 Ольгинский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12</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8</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4</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25:13 Партизанский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20</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5</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10</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5</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25:14 Пограничный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7</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5</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25:15Пожарский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9</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7</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25:16 Спасский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25:17 Тернейский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8</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5</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25:18 Уссурийский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10</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6</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25:19 Ханкайский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7</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5</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25:20 Хасанский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20</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12</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6</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25:21 Хорольский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8</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25:22 Черниговский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21</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7</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12</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25:23 Чугуевский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21</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5</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13</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25:24 Шкотовский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8</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4</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25:25 Яковлевский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4</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25:26 г.Арсеньев</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r>
      <w:tr>
        <w:trPr>
          <w:trHeight w:val="285" w:hRule="atLeast"/>
        </w:trPr>
        <w:tc>
          <w:tcPr>
            <w:tcW w:w="237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25:27 г.Артем</w:t>
            </w:r>
          </w:p>
        </w:tc>
        <w:tc>
          <w:tcPr>
            <w:tcW w:w="850"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16</w:t>
            </w:r>
          </w:p>
        </w:tc>
        <w:tc>
          <w:tcPr>
            <w:tcW w:w="141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7</w:t>
            </w:r>
          </w:p>
        </w:tc>
        <w:tc>
          <w:tcPr>
            <w:tcW w:w="1276"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6</w:t>
            </w:r>
          </w:p>
        </w:tc>
        <w:tc>
          <w:tcPr>
            <w:tcW w:w="883"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25:28 г.Владивосток</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217</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206</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6</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5</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25:29 г.Дальнереченск</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25:30 г.Лесозаводск</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24</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19</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4</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25:31 г.Находка</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8</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6</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25:32 г.Спасск-Дальний</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8</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6</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25:33 г.Партизанск</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6</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25:34 г.Уссурийск</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9</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8</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25:35 г.Фокино</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1</w:t>
            </w:r>
          </w:p>
        </w:tc>
      </w:tr>
      <w:tr>
        <w:trPr>
          <w:trHeight w:val="285" w:hRule="atLeast"/>
        </w:trPr>
        <w:tc>
          <w:tcPr>
            <w:tcW w:w="2376"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b/>
                <w:b/>
                <w:bCs/>
                <w:sz w:val="20"/>
                <w:szCs w:val="20"/>
              </w:rPr>
            </w:pPr>
            <w:r>
              <w:rPr>
                <w:rFonts w:cs="Times New Roman" w:ascii="Times New Roman" w:hAnsi="Times New Roman"/>
                <w:b/>
                <w:bCs/>
                <w:sz w:val="20"/>
                <w:szCs w:val="20"/>
              </w:rPr>
              <w:t>25:36 г.Большой Камень</w:t>
            </w:r>
          </w:p>
        </w:tc>
        <w:tc>
          <w:tcPr>
            <w:tcW w:w="850"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6</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0</w:t>
            </w:r>
          </w:p>
        </w:tc>
        <w:tc>
          <w:tcPr>
            <w:tcW w:w="1276"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c>
          <w:tcPr>
            <w:tcW w:w="88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w:t>
            </w:r>
          </w:p>
        </w:tc>
      </w:tr>
      <w:tr>
        <w:trPr>
          <w:trHeight w:val="300" w:hRule="atLeast"/>
        </w:trPr>
        <w:tc>
          <w:tcPr>
            <w:tcW w:w="2376"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0"/>
                <w:szCs w:val="20"/>
              </w:rPr>
            </w:pPr>
            <w:r>
              <w:rPr>
                <w:rFonts w:cs="Times New Roman" w:ascii="Times New Roman" w:hAnsi="Times New Roman"/>
                <w:b/>
                <w:bCs/>
                <w:sz w:val="20"/>
                <w:szCs w:val="20"/>
              </w:rPr>
              <w:t>Итого</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579</w:t>
            </w:r>
          </w:p>
        </w:tc>
        <w:tc>
          <w:tcPr>
            <w:tcW w:w="141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305</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1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7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9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203</w:t>
            </w:r>
          </w:p>
        </w:tc>
        <w:tc>
          <w:tcPr>
            <w:tcW w:w="88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89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
          </w:p>
        </w:tc>
        <w:tc>
          <w:tcPr>
            <w:tcW w:w="113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bCs/>
                <w:sz w:val="20"/>
                <w:szCs w:val="20"/>
              </w:rPr>
            </w:pPr>
            <w:r>
              <w:rPr>
                <w:rFonts w:cs="Times New Roman" w:ascii="Times New Roman" w:hAnsi="Times New Roman"/>
                <w:bCs/>
                <w:sz w:val="20"/>
                <w:szCs w:val="20"/>
              </w:rPr>
              <w:t>71</w:t>
            </w:r>
          </w:p>
        </w:tc>
      </w:tr>
    </w:tbl>
    <w:p>
      <w:pPr>
        <w:sectPr>
          <w:headerReference w:type="default" r:id="rId126"/>
          <w:footerReference w:type="default" r:id="rId127"/>
          <w:type w:val="nextPage"/>
          <w:pgSz w:orient="landscape" w:w="16838" w:h="11906"/>
          <w:pgMar w:left="1134" w:right="1134" w:gutter="0" w:header="709" w:top="1701" w:footer="709" w:bottom="851"/>
          <w:pgNumType w:fmt="decimal"/>
          <w:formProt w:val="false"/>
          <w:textDirection w:val="lrTb"/>
          <w:docGrid w:type="default" w:linePitch="299" w:charSpace="4096"/>
        </w:sectPr>
      </w:pP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tbl>
      <w:tblPr>
        <w:tblW w:w="9806" w:type="dxa"/>
        <w:jc w:val="left"/>
        <w:tblInd w:w="93" w:type="dxa"/>
        <w:tblLayout w:type="fixed"/>
        <w:tblCellMar>
          <w:top w:w="0" w:type="dxa"/>
          <w:left w:w="108" w:type="dxa"/>
          <w:bottom w:w="0" w:type="dxa"/>
          <w:right w:w="108" w:type="dxa"/>
        </w:tblCellMar>
        <w:tblLook w:val="04a0" w:noHBand="0" w:noVBand="1" w:firstColumn="1" w:lastRow="0" w:lastColumn="0" w:firstRow="1"/>
      </w:tblPr>
      <w:tblGrid>
        <w:gridCol w:w="531"/>
        <w:gridCol w:w="5193"/>
        <w:gridCol w:w="2041"/>
        <w:gridCol w:w="2040"/>
      </w:tblGrid>
      <w:tr>
        <w:trPr>
          <w:trHeight w:val="300" w:hRule="atLeast"/>
        </w:trPr>
        <w:tc>
          <w:tcPr>
            <w:tcW w:w="531"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5193"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4081" w:type="dxa"/>
            <w:gridSpan w:val="2"/>
            <w:tcBorders/>
            <w:shd w:color="auto" w:fill="auto" w:val="clear"/>
          </w:tcPr>
          <w:p>
            <w:pPr>
              <w:pStyle w:val="Normal"/>
              <w:widowControl w:val="false"/>
              <w:spacing w:lineRule="auto" w:line="240" w:before="0" w:after="0"/>
              <w:jc w:val="right"/>
              <w:rPr>
                <w:rFonts w:ascii="Times New Roman" w:hAnsi="Times New Roman" w:eastAsia="Times New Roman" w:cs="Times New Roman"/>
                <w:sz w:val="28"/>
                <w:szCs w:val="28"/>
              </w:rPr>
            </w:pPr>
            <w:r>
              <w:rPr>
                <w:rFonts w:eastAsia="Times New Roman" w:cs="Times New Roman" w:ascii="Times New Roman" w:hAnsi="Times New Roman"/>
                <w:sz w:val="28"/>
                <w:szCs w:val="28"/>
              </w:rPr>
              <w:t>Приложение № 8</w:t>
            </w:r>
          </w:p>
          <w:p>
            <w:pPr>
              <w:pStyle w:val="Normal"/>
              <w:widowControl w:val="false"/>
              <w:spacing w:lineRule="auto" w:line="240" w:before="0" w:after="0"/>
              <w:jc w:val="right"/>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spacing w:lineRule="auto" w:line="240" w:before="0" w:after="0"/>
              <w:jc w:val="right"/>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tc>
      </w:tr>
      <w:tr>
        <w:trPr>
          <w:trHeight w:val="300" w:hRule="atLeast"/>
        </w:trPr>
        <w:tc>
          <w:tcPr>
            <w:tcW w:w="9805" w:type="dxa"/>
            <w:gridSpan w:val="4"/>
            <w:tcBorders/>
            <w:shd w:color="auto" w:fill="auto" w:val="clear"/>
          </w:tcPr>
          <w:p>
            <w:pPr>
              <w:pStyle w:val="Normal"/>
              <w:widowControl w:val="false"/>
              <w:spacing w:lineRule="auto" w:line="240" w:before="0" w:after="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sz w:val="24"/>
                <w:szCs w:val="24"/>
              </w:rPr>
              <w:t>Мониторинг использования земель</w:t>
            </w:r>
          </w:p>
        </w:tc>
      </w:tr>
      <w:tr>
        <w:trPr>
          <w:trHeight w:val="300" w:hRule="atLeast"/>
        </w:trPr>
        <w:tc>
          <w:tcPr>
            <w:tcW w:w="9805" w:type="dxa"/>
            <w:gridSpan w:val="4"/>
            <w:tcBorders/>
            <w:shd w:color="auto" w:fill="auto" w:val="clear"/>
          </w:tcPr>
          <w:p>
            <w:pPr>
              <w:pStyle w:val="Normal"/>
              <w:widowControl w:val="false"/>
              <w:spacing w:lineRule="auto" w:line="240" w:before="0" w:after="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sz w:val="24"/>
                <w:szCs w:val="24"/>
              </w:rPr>
              <w:t>Распределение земель по категориям земель*</w:t>
            </w:r>
          </w:p>
        </w:tc>
      </w:tr>
      <w:tr>
        <w:trPr>
          <w:trHeight w:val="300" w:hRule="exact"/>
        </w:trPr>
        <w:tc>
          <w:tcPr>
            <w:tcW w:w="531"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5193"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4081" w:type="dxa"/>
            <w:gridSpan w:val="2"/>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300" w:hRule="atLeast"/>
        </w:trPr>
        <w:tc>
          <w:tcPr>
            <w:tcW w:w="531"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5193"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4081" w:type="dxa"/>
            <w:gridSpan w:val="2"/>
            <w:tcBorders/>
            <w:shd w:color="auto" w:fill="auto" w:val="clear"/>
          </w:tcPr>
          <w:p>
            <w:pPr>
              <w:pStyle w:val="Normal"/>
              <w:widowControl w:val="false"/>
              <w:spacing w:lineRule="auto" w:line="240" w:before="0" w:after="0"/>
              <w:jc w:val="right"/>
              <w:rPr>
                <w:rFonts w:ascii="Times New Roman" w:hAnsi="Times New Roman" w:eastAsia="Times New Roman" w:cs="Times New Roman"/>
              </w:rPr>
            </w:pPr>
            <w:r>
              <w:rPr>
                <w:rFonts w:eastAsia="Times New Roman" w:cs="Times New Roman" w:ascii="Times New Roman" w:hAnsi="Times New Roman"/>
              </w:rPr>
              <w:t>по состоянию на 01.01.2017 г.</w:t>
            </w:r>
          </w:p>
        </w:tc>
      </w:tr>
      <w:tr>
        <w:trPr>
          <w:trHeight w:val="300" w:hRule="atLeast"/>
        </w:trPr>
        <w:tc>
          <w:tcPr>
            <w:tcW w:w="531"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5193"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4081" w:type="dxa"/>
            <w:gridSpan w:val="2"/>
            <w:tcBorders>
              <w:bottom w:val="single" w:sz="4" w:space="0" w:color="000000"/>
            </w:tcBorders>
            <w:shd w:color="auto" w:fill="auto" w:val="clear"/>
          </w:tcPr>
          <w:p>
            <w:pPr>
              <w:pStyle w:val="Normal"/>
              <w:widowControl w:val="false"/>
              <w:spacing w:lineRule="auto" w:line="240" w:before="0" w:after="0"/>
              <w:jc w:val="right"/>
              <w:rPr>
                <w:rFonts w:ascii="Times New Roman" w:hAnsi="Times New Roman" w:eastAsia="Times New Roman" w:cs="Times New Roman"/>
                <w:color w:val="000000"/>
              </w:rPr>
            </w:pPr>
            <w:r>
              <w:rPr>
                <w:rFonts w:eastAsia="Times New Roman" w:cs="Times New Roman" w:ascii="Times New Roman" w:hAnsi="Times New Roman"/>
              </w:rPr>
              <w:t>Площадь в тыс. га</w:t>
            </w:r>
          </w:p>
        </w:tc>
      </w:tr>
      <w:tr>
        <w:trPr>
          <w:trHeight w:val="57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b/>
                <w:bCs/>
              </w:rPr>
              <w:t xml:space="preserve">№ </w:t>
            </w:r>
            <w:r>
              <w:rPr>
                <w:rFonts w:eastAsia="Times New Roman" w:cs="Times New Roman" w:ascii="Times New Roman" w:hAnsi="Times New Roman"/>
                <w:b/>
                <w:bCs/>
              </w:rPr>
              <w:t>п/п</w:t>
            </w:r>
          </w:p>
        </w:tc>
        <w:tc>
          <w:tcPr>
            <w:tcW w:w="5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b/>
                <w:bCs/>
              </w:rPr>
              <w:t>Категории земель</w:t>
            </w:r>
          </w:p>
        </w:tc>
        <w:tc>
          <w:tcPr>
            <w:tcW w:w="204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b/>
                <w:bCs/>
              </w:rPr>
              <w:t>Площадь, всего</w:t>
            </w:r>
          </w:p>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(по форме №22-2)</w:t>
            </w:r>
          </w:p>
        </w:tc>
        <w:tc>
          <w:tcPr>
            <w:tcW w:w="204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b/>
                <w:bCs/>
              </w:rPr>
              <w:t>Площадь, всего</w:t>
            </w:r>
          </w:p>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color w:val="000000"/>
              </w:rPr>
              <w:t>(по сведениям ГКН)</w:t>
            </w:r>
          </w:p>
        </w:tc>
      </w:tr>
      <w:tr>
        <w:trPr>
          <w:trHeight w:val="300" w:hRule="atLeast"/>
        </w:trPr>
        <w:tc>
          <w:tcPr>
            <w:tcW w:w="53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rPr>
              <w:t>1</w:t>
            </w:r>
          </w:p>
        </w:tc>
        <w:tc>
          <w:tcPr>
            <w:tcW w:w="5193" w:type="dxa"/>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rPr>
              <w:t>2</w:t>
            </w:r>
          </w:p>
        </w:tc>
        <w:tc>
          <w:tcPr>
            <w:tcW w:w="2041"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w:t>
            </w:r>
          </w:p>
        </w:tc>
        <w:tc>
          <w:tcPr>
            <w:tcW w:w="2040"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w:t>
            </w:r>
          </w:p>
        </w:tc>
      </w:tr>
      <w:tr>
        <w:trPr>
          <w:trHeight w:val="300" w:hRule="atLeast"/>
        </w:trPr>
        <w:tc>
          <w:tcPr>
            <w:tcW w:w="53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rPr>
              <w:t>1.</w:t>
            </w:r>
          </w:p>
        </w:tc>
        <w:tc>
          <w:tcPr>
            <w:tcW w:w="5193" w:type="dxa"/>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rPr>
              <w:t>Земли сельскохозяйственного назначения</w:t>
            </w:r>
          </w:p>
        </w:tc>
        <w:tc>
          <w:tcPr>
            <w:tcW w:w="204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1862,3</w:t>
            </w:r>
          </w:p>
        </w:tc>
        <w:tc>
          <w:tcPr>
            <w:tcW w:w="204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2866,47</w:t>
            </w:r>
          </w:p>
        </w:tc>
      </w:tr>
      <w:tr>
        <w:trPr>
          <w:trHeight w:val="300" w:hRule="atLeast"/>
        </w:trPr>
        <w:tc>
          <w:tcPr>
            <w:tcW w:w="53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rPr>
              <w:t>2.</w:t>
            </w:r>
          </w:p>
        </w:tc>
        <w:tc>
          <w:tcPr>
            <w:tcW w:w="5193" w:type="dxa"/>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rPr>
              <w:t>Земли населенных пунктов</w:t>
            </w:r>
          </w:p>
        </w:tc>
        <w:tc>
          <w:tcPr>
            <w:tcW w:w="204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249,4</w:t>
            </w:r>
          </w:p>
        </w:tc>
        <w:tc>
          <w:tcPr>
            <w:tcW w:w="204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239,2</w:t>
            </w:r>
          </w:p>
        </w:tc>
      </w:tr>
      <w:tr>
        <w:trPr>
          <w:trHeight w:val="1200" w:hRule="atLeast"/>
        </w:trPr>
        <w:tc>
          <w:tcPr>
            <w:tcW w:w="53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rPr>
              <w:t>3.</w:t>
            </w:r>
          </w:p>
        </w:tc>
        <w:tc>
          <w:tcPr>
            <w:tcW w:w="5193" w:type="dxa"/>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4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384,3</w:t>
            </w:r>
          </w:p>
        </w:tc>
        <w:tc>
          <w:tcPr>
            <w:tcW w:w="204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397,72</w:t>
            </w:r>
          </w:p>
        </w:tc>
      </w:tr>
      <w:tr>
        <w:trPr>
          <w:trHeight w:val="300" w:hRule="atLeast"/>
        </w:trPr>
        <w:tc>
          <w:tcPr>
            <w:tcW w:w="53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rPr>
              <w:t>4.</w:t>
            </w:r>
          </w:p>
        </w:tc>
        <w:tc>
          <w:tcPr>
            <w:tcW w:w="5193" w:type="dxa"/>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rPr>
              <w:t>Земли особо охраняемых территорий и объектов</w:t>
            </w:r>
          </w:p>
        </w:tc>
        <w:tc>
          <w:tcPr>
            <w:tcW w:w="204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847,3</w:t>
            </w:r>
          </w:p>
        </w:tc>
        <w:tc>
          <w:tcPr>
            <w:tcW w:w="204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1525,75</w:t>
            </w:r>
          </w:p>
        </w:tc>
      </w:tr>
      <w:tr>
        <w:trPr>
          <w:trHeight w:val="300" w:hRule="atLeast"/>
        </w:trPr>
        <w:tc>
          <w:tcPr>
            <w:tcW w:w="53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rPr>
              <w:t>5.</w:t>
            </w:r>
          </w:p>
        </w:tc>
        <w:tc>
          <w:tcPr>
            <w:tcW w:w="5193" w:type="dxa"/>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rPr>
              <w:t>Земли лесного фонда</w:t>
            </w:r>
          </w:p>
        </w:tc>
        <w:tc>
          <w:tcPr>
            <w:tcW w:w="204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12150,9</w:t>
            </w:r>
          </w:p>
        </w:tc>
        <w:tc>
          <w:tcPr>
            <w:tcW w:w="204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22807,49</w:t>
            </w:r>
          </w:p>
        </w:tc>
      </w:tr>
      <w:tr>
        <w:trPr>
          <w:trHeight w:val="300" w:hRule="atLeast"/>
        </w:trPr>
        <w:tc>
          <w:tcPr>
            <w:tcW w:w="53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rPr>
              <w:t>6.</w:t>
            </w:r>
          </w:p>
        </w:tc>
        <w:tc>
          <w:tcPr>
            <w:tcW w:w="5193" w:type="dxa"/>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rPr>
              <w:t>Земли водного фонда</w:t>
            </w:r>
          </w:p>
        </w:tc>
        <w:tc>
          <w:tcPr>
            <w:tcW w:w="204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323,2</w:t>
            </w:r>
          </w:p>
        </w:tc>
        <w:tc>
          <w:tcPr>
            <w:tcW w:w="204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3,93</w:t>
            </w:r>
          </w:p>
        </w:tc>
      </w:tr>
      <w:tr>
        <w:trPr>
          <w:trHeight w:val="300" w:hRule="atLeast"/>
        </w:trPr>
        <w:tc>
          <w:tcPr>
            <w:tcW w:w="53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rPr>
              <w:t>7.</w:t>
            </w:r>
          </w:p>
        </w:tc>
        <w:tc>
          <w:tcPr>
            <w:tcW w:w="5193" w:type="dxa"/>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rPr>
              <w:t>Земли запаса</w:t>
            </w:r>
          </w:p>
        </w:tc>
        <w:tc>
          <w:tcPr>
            <w:tcW w:w="204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649,9</w:t>
            </w:r>
          </w:p>
        </w:tc>
        <w:tc>
          <w:tcPr>
            <w:tcW w:w="204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1581,53</w:t>
            </w:r>
          </w:p>
        </w:tc>
      </w:tr>
      <w:tr>
        <w:trPr>
          <w:trHeight w:val="300" w:hRule="atLeast"/>
        </w:trPr>
        <w:tc>
          <w:tcPr>
            <w:tcW w:w="53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w:t>
            </w:r>
          </w:p>
        </w:tc>
        <w:tc>
          <w:tcPr>
            <w:tcW w:w="5193" w:type="dxa"/>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Категория не установлена</w:t>
            </w:r>
          </w:p>
        </w:tc>
        <w:tc>
          <w:tcPr>
            <w:tcW w:w="204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w:t>
            </w:r>
          </w:p>
        </w:tc>
        <w:tc>
          <w:tcPr>
            <w:tcW w:w="204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w:t>
            </w:r>
          </w:p>
        </w:tc>
      </w:tr>
      <w:tr>
        <w:trPr>
          <w:trHeight w:val="300" w:hRule="atLeast"/>
        </w:trPr>
        <w:tc>
          <w:tcPr>
            <w:tcW w:w="53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
          </w:p>
        </w:tc>
        <w:tc>
          <w:tcPr>
            <w:tcW w:w="5193" w:type="dxa"/>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i/>
                <w:iCs/>
              </w:rPr>
              <w:t>Итого земель:</w:t>
            </w:r>
          </w:p>
        </w:tc>
        <w:tc>
          <w:tcPr>
            <w:tcW w:w="204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16467,3</w:t>
            </w:r>
          </w:p>
        </w:tc>
        <w:tc>
          <w:tcPr>
            <w:tcW w:w="204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29422,09</w:t>
            </w:r>
          </w:p>
        </w:tc>
      </w:tr>
      <w:tr>
        <w:trPr>
          <w:trHeight w:val="300" w:hRule="exact"/>
        </w:trPr>
        <w:tc>
          <w:tcPr>
            <w:tcW w:w="531"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5193"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4081" w:type="dxa"/>
            <w:gridSpan w:val="2"/>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600" w:hRule="atLeast"/>
        </w:trPr>
        <w:tc>
          <w:tcPr>
            <w:tcW w:w="9805" w:type="dxa"/>
            <w:gridSpan w:val="4"/>
            <w:tcBorders/>
            <w:shd w:color="auto" w:fill="auto" w:val="clea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 Заполняется в двух вариантах по двум источникам информации:</w:t>
            </w:r>
          </w:p>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rPr>
              <w:t>- согласно форме федеральной статистической отчетности №  22-2 (Подразделениями)</w:t>
            </w:r>
          </w:p>
        </w:tc>
      </w:tr>
      <w:tr>
        <w:trPr>
          <w:trHeight w:val="600" w:hRule="atLeast"/>
        </w:trPr>
        <w:tc>
          <w:tcPr>
            <w:tcW w:w="9805" w:type="dxa"/>
            <w:gridSpan w:val="4"/>
            <w:tcBorders/>
            <w:shd w:color="auto" w:fill="auto" w:val="clea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rPr>
              <w:t>- сведениям ГКН согласно классификатору, утвержденному приказом Росреестра от 12.10.2011        № 389 (Филиалами)</w:t>
            </w:r>
          </w:p>
        </w:tc>
      </w:tr>
      <w:tr>
        <w:trPr>
          <w:trHeight w:val="300" w:hRule="exact"/>
        </w:trPr>
        <w:tc>
          <w:tcPr>
            <w:tcW w:w="531"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5193"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4081" w:type="dxa"/>
            <w:gridSpan w:val="2"/>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r>
          </w:p>
        </w:tc>
      </w:tr>
    </w:tbl>
    <w:p>
      <w:pPr>
        <w:pStyle w:val="Normal"/>
        <w:spacing w:lineRule="auto" w:line="240" w:before="0" w:after="0"/>
        <w:contextualSpacing/>
        <w:jc w:val="center"/>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sectPr>
          <w:headerReference w:type="default" r:id="rId128"/>
          <w:footerReference w:type="default" r:id="rId129"/>
          <w:type w:val="nextPage"/>
          <w:pgSz w:w="11906" w:h="16838"/>
          <w:pgMar w:left="1701" w:right="851" w:gutter="0" w:header="709" w:top="1134" w:footer="709" w:bottom="1134"/>
          <w:pgNumType w:fmt="decimal"/>
          <w:formProt w:val="false"/>
          <w:textDirection w:val="lrTb"/>
          <w:docGrid w:type="default" w:linePitch="299" w:charSpace="4096"/>
        </w:sect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jc w:val="right"/>
        <w:rPr>
          <w:rFonts w:ascii="Times New Roman" w:hAnsi="Times New Roman" w:cs="Times New Roman"/>
          <w:sz w:val="28"/>
          <w:szCs w:val="28"/>
        </w:rPr>
      </w:pPr>
      <w:r>
        <w:rPr>
          <w:rFonts w:cs="Times New Roman" w:ascii="Times New Roman" w:hAnsi="Times New Roman"/>
          <w:sz w:val="28"/>
          <w:szCs w:val="28"/>
        </w:rPr>
        <w:t>Приложение № 9</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Мониторинг использования земель</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Распределение земельных участков по видам разрешенного использования *</w:t>
      </w:r>
    </w:p>
    <w:tbl>
      <w:tblPr>
        <w:tblW w:w="13840" w:type="dxa"/>
        <w:jc w:val="left"/>
        <w:tblInd w:w="93" w:type="dxa"/>
        <w:tblLayout w:type="fixed"/>
        <w:tblCellMar>
          <w:top w:w="0" w:type="dxa"/>
          <w:left w:w="108" w:type="dxa"/>
          <w:bottom w:w="0" w:type="dxa"/>
          <w:right w:w="108" w:type="dxa"/>
        </w:tblCellMar>
        <w:tblLook w:val="04a0" w:noHBand="0" w:noVBand="1" w:firstColumn="1" w:lastRow="0" w:lastColumn="0" w:firstRow="1"/>
      </w:tblPr>
      <w:tblGrid>
        <w:gridCol w:w="960"/>
        <w:gridCol w:w="10820"/>
        <w:gridCol w:w="2060"/>
      </w:tblGrid>
      <w:tr>
        <w:trPr>
          <w:trHeight w:val="585" w:hRule="atLeast"/>
        </w:trPr>
        <w:tc>
          <w:tcPr>
            <w:tcW w:w="9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 </w:t>
            </w:r>
            <w:r>
              <w:rPr>
                <w:rFonts w:eastAsia="Times New Roman" w:cs="Times New Roman" w:ascii="Times New Roman" w:hAnsi="Times New Roman"/>
                <w:color w:val="000000"/>
              </w:rPr>
              <w:t>п/п</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Категории земель</w:t>
            </w:r>
          </w:p>
        </w:tc>
        <w:tc>
          <w:tcPr>
            <w:tcW w:w="2060"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Площадь, га</w:t>
            </w:r>
          </w:p>
        </w:tc>
      </w:tr>
      <w:tr>
        <w:trPr>
          <w:trHeight w:val="26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w:t>
            </w:r>
          </w:p>
        </w:tc>
      </w:tr>
      <w:tr>
        <w:trPr>
          <w:trHeight w:val="48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сельскохозяйственного производства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2 218 709,95</w:t>
            </w:r>
          </w:p>
        </w:tc>
      </w:tr>
      <w:tr>
        <w:trPr>
          <w:trHeight w:val="48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использования в качестве сельскохозяйственных угодий</w:t>
            </w:r>
          </w:p>
        </w:tc>
        <w:tc>
          <w:tcPr>
            <w:tcW w:w="2060" w:type="dxa"/>
            <w:tcBorders>
              <w:right w:val="single" w:sz="4" w:space="0" w:color="000000"/>
            </w:tcBorders>
            <w:shd w:color="000000" w:fill="FFFFFF" w:val="clear"/>
            <w:vAlign w:val="bottom"/>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39 942,08</w:t>
            </w:r>
          </w:p>
        </w:tc>
      </w:tr>
      <w:tr>
        <w:trPr>
          <w:trHeight w:val="63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зданий, строений, сооружений, используемых для производства, хранения и первичной переработки сельскохозяйственной продукции</w:t>
            </w:r>
          </w:p>
        </w:tc>
        <w:tc>
          <w:tcPr>
            <w:tcW w:w="2060" w:type="dxa"/>
            <w:tcBorders>
              <w:top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683,91</w:t>
            </w:r>
          </w:p>
        </w:tc>
      </w:tr>
      <w:tr>
        <w:trPr>
          <w:trHeight w:val="39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внутрихозяйственных дорог и коммуникаций</w:t>
            </w:r>
          </w:p>
        </w:tc>
        <w:tc>
          <w:tcPr>
            <w:tcW w:w="2060"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63,52</w:t>
            </w:r>
          </w:p>
        </w:tc>
      </w:tr>
      <w:tr>
        <w:trPr>
          <w:trHeight w:val="43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водных объектов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1 148,09</w:t>
            </w:r>
          </w:p>
        </w:tc>
      </w:tr>
      <w:tr>
        <w:trPr>
          <w:trHeight w:val="43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ведения крестьянского (фермерского) хозяйства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180 807,57</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ведения личного подсобного хозяйства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79 647,70</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ведения гражданами садоводства и огородничества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35 054,58</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ведения гражданами животноводства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7 385,70</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дачного строительства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1 179,82</w:t>
            </w:r>
          </w:p>
        </w:tc>
      </w:tr>
      <w:tr>
        <w:trPr>
          <w:trHeight w:val="64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914,03</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научно-исследовательских целей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79 416,73</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учебных целей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67,83</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сенокошения и выпаса скота гражданами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11 379,68</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Фонд перераспределения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17 309,60</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охотничьего хозяйства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116 916,80</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рыбного хозяйства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154,73</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иных видов сельскохозяйственного использования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1 685 219,49</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объектов жилой застройки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9 026,67</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индивидуальной жилой застройки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16 141,21</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многоквартирной застройки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1 242,13</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малоэтажной застройки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197,42</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среднеэтажной застройки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62,85</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многоэтажной застройки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1 378,63</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иных видов жилой застройки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649,42</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дошкольного, начального, общего и среднего (полного) общего образования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382,40</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объектов, допустимых в жилых зонах и не перечисленных в классификаторе</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160,39</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объектов общественно-делового значения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16 874,88</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социального и коммунально-бытового назначения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115,02</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здравоохранения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186,72</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культуры</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99,16</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торговли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321,05</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розничной торговли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119,08</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оптовой торговли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26,80</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общественного питания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99,71</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предпринимательской деятельности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148,99</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среднего профессионального и высшего профессионального образования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400,02</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административных зданий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1 501,03</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научно-исследовательских учреждений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189,71</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культовых зданий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28,32</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стоянок автомобильного транспорта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159,66</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делового назначения, в том числе офисных центров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188,80</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финансового назначения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160,69</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гостиниц</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199,76</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подземных или многоэтажных гаражей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18,64</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индивидуальных гаражей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1 331,25</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объектов общественно-делового значения, обеспечивающих жизнь граждан</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358,48</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общего пользования (уличная сеть)</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40 838,61</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специального назначения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5 815,32</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кладбищ</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669,93</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крематориев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4,86</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скотомогильников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0,37</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Под объектами размещения отходов потребления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149,54</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Под иными объектами специального назначения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715 309,22</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коммунальных, складских объектов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1 314,68</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жилищно-коммунального хозяйства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79,44</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иных видов использования, характерных для населенных пунктов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98 446,46</w:t>
            </w:r>
          </w:p>
        </w:tc>
      </w:tr>
      <w:tr>
        <w:trPr>
          <w:trHeight w:val="82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123 234,99</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промышленных объектов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306 584,99</w:t>
            </w:r>
          </w:p>
        </w:tc>
      </w:tr>
      <w:tr>
        <w:trPr>
          <w:trHeight w:val="55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производственных и административных зданий, строений, сооружений и обслуживающих их объектов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2 692,16</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производственных зданий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1 298,41</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коммуникаций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73,73</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подъездных путей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79 532,76</w:t>
            </w:r>
          </w:p>
        </w:tc>
      </w:tr>
      <w:tr>
        <w:trPr>
          <w:trHeight w:val="4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складских помещений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1 040,73</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административных зданий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1 500,93</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культурно-бытовых зданий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10,45</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сооружений промышленности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867,93</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добычи и разработки полезных ископаемых</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24 024,18</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объектов промышленности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13 270,14</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энергетики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7 771,51</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электростанций и обслуживающих сооружений и объектов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135,48</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гидроэлектростанций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0,02</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атомных станций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0,08</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пунктов хранения ядерных материалов и радиоактивных веществ энергетики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0,20</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тепловых станций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5,27</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типов электростанций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0,44</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обслуживающих сооружений и объектов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130,07</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электросетевого хозяйства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88,34</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воздушных линий электропередачи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1 561,51</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наземных сооружений кабельных линий электропередачи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57,32</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подстанций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20,60</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распределительных пунктов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1,08</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других сооружений и объектов электросетевого хозяйства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5,89</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объектов энергетики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286,03</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транспорта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688,70</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 эксплуатации объектов железнодорожного транспорта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1 981,32</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железнодорожных путей и их конструктивных элементов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14 098,59</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полос отвода железнодорожных путей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101,46</w:t>
            </w:r>
          </w:p>
        </w:tc>
      </w:tr>
      <w:tr>
        <w:trPr>
          <w:trHeight w:val="124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эксплуатации, расширения и реконструкции строений, зданий, сооружений, в том числе железнодорожных вокзалов, железнодорожных станций, а также устройств и других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железнодорожного транспорта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6,56</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железнодорожных вокзалов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0,19</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железнодорожных станций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6,09</w:t>
            </w:r>
          </w:p>
        </w:tc>
      </w:tr>
      <w:tr>
        <w:trPr>
          <w:trHeight w:val="100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устройств и других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железнодорожного транспорта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0,71</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 эксплуатации объектов автомобильного транспорта и объектов дорожного хозяйства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29 752,77</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автомобильных дорог и их конструктивных элементов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2 509,03</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полос отвода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86,59</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дорожного сервиса в полосах отвода автомобильных дорог</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26,11</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автовокзалов и автостанций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3,98</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объектов автомобильного транспорта и дорожного хозяйства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6 130,99</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 эксплуатации объектов морского, внутреннего водного транспорта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1 474,03</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искусственно созданных внутренних водных путей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0,35</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морских и речных портов, причалов, пристаней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164,94</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объектов морского, внутреннего водного транспорта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136,27</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выделения береговой полосы</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10,94</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 эксплуатации объектов воздушного транспорта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1 086,94</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аэропортов и аэродромов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172,64</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аэровокзалов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3,99</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взлетно-посадочных полос</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1,00</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наземных объектов воздушного транспорта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16,61</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 эксплуатации объектов трубопроводного транспорта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143,97</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нефтепроводов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166,21</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газопроводов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301,93</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трубопроводов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440,01</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объектов трубопроводного транспорта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143,61</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 эксплуатации иных объектов транспорта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1 567,20</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связи, радиовещания, телевидения, информатики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58,73</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эксплуатационных предприятий связи и обслуживания линий связи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11,26</w:t>
            </w:r>
          </w:p>
        </w:tc>
      </w:tr>
      <w:tr>
        <w:trPr>
          <w:trHeight w:val="66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кабельных, радиорелейных и воздушных линий связи и линий радиофикации на трассах кабельных и воздушных линий связи и радиофикации и их охранные зоны</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11,94</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подземных кабельных и воздушных линий связи и радиофикации и их охранные зоны</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45,53</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наземных сооружений и инфраструктур спутниковой связи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43,21</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120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объектов связи, радиовещания, телевидения, информатики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225,70</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121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полигонов приземления космических объектов и взлетно-посадочных полос</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1,77</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122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экспериментальной базы для отработки космической техники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0,00</w:t>
            </w:r>
          </w:p>
        </w:tc>
      </w:tr>
      <w:tr>
        <w:trPr>
          <w:trHeight w:val="67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123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других наземных сооружений и техники, используемых при осуществлении космической деятельности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87,28</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124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предназначенных для обеспечения обороны и безопасности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2 238,43</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125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обеспечения задач обороны</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191,10</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126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военных организаций, учреждений и других объектов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281 869,10</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127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дислокации войск и сил флота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3 479,69</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128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проведения учений и иных мероприятий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26,64</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129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испытательных полигонов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933,17</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мест уничтожения оружия и захоронения отходов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2,33</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объектов обороны</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19 824,50</w:t>
            </w:r>
          </w:p>
        </w:tc>
      </w:tr>
      <w:tr>
        <w:trPr>
          <w:trHeight w:val="54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(территорий), обеспечивающих защиту и охрану Государственной границы Российской Федерации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14,52</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обустройства и содержания инженерно-технических сооружений и заграждений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239,50</w:t>
            </w:r>
          </w:p>
        </w:tc>
      </w:tr>
      <w:tr>
        <w:trPr>
          <w:trHeight w:val="39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обустройства и содержания коммуникаций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295,56</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обустройства и содержания пунктов пропуска через Государственную границу Российской Федерации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0,61</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объектов для защиты и охраны Государственной границы Российской Федерации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113,03</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объектов обороны и безопасности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7 143,85</w:t>
            </w:r>
          </w:p>
        </w:tc>
      </w:tr>
      <w:tr>
        <w:trPr>
          <w:trHeight w:val="832"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98 575,23</w:t>
            </w:r>
          </w:p>
        </w:tc>
      </w:tr>
      <w:tr>
        <w:trPr>
          <w:trHeight w:val="334"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особо охраняемых историко-культурных и природных объектов (территорий)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39,32</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особо охраняемых природных объектов (территорий)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90 050,14</w:t>
            </w:r>
          </w:p>
        </w:tc>
      </w:tr>
      <w:tr>
        <w:trPr>
          <w:trHeight w:val="404"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государственных природных заповедников (в том числе биосферных)</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214 482,93</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государственных природных заказников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58 618,51</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национальных парков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140 285,87</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природных парков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131,90</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дендрологических парков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12,12</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ботанических садов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63,00</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санаторного и курортного назначения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163,70</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Территории месторождений минеральных вод, лечебных грязей, рапы лиманов и озер</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0,99</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особо охраняемых природных территорий (объектов)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71,01</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(территорий) природоохранного назначения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1 527 433,81</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(территорий) рекреационного назначения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16 932,64</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домов отдыха, пансионатов, кемпингов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99 738,70</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физической культуры и спорта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720,43</w:t>
            </w:r>
          </w:p>
        </w:tc>
      </w:tr>
      <w:tr>
        <w:trPr>
          <w:trHeight w:val="69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туристических баз, стационарных и палаточных туристско-оздоровительных лагерей, домов рыболова и охотника, детских туристических станций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904,57</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туристических парков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48,79</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лесопарков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3 137 396,54</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учебно-туристических троп и трасс</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1,09</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детских и спортивных лагерей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2 151,71</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159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скверов, парков, городских садов</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2 746,11</w:t>
            </w:r>
          </w:p>
        </w:tc>
      </w:tr>
      <w:tr>
        <w:trPr>
          <w:trHeight w:val="382"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пляжей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1 185,99</w:t>
            </w:r>
          </w:p>
        </w:tc>
      </w:tr>
      <w:tr>
        <w:trPr>
          <w:trHeight w:val="415"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объектов (территорий) рекреационного назначения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2 108,15</w:t>
            </w:r>
          </w:p>
        </w:tc>
      </w:tr>
      <w:tr>
        <w:trPr>
          <w:trHeight w:val="407"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историко-культурного назначения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4,52</w:t>
            </w:r>
          </w:p>
        </w:tc>
      </w:tr>
      <w:tr>
        <w:trPr>
          <w:trHeight w:val="569"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культурного наследия народов Российской Федерации (памятников истории и культуры), в том числе объектов археологического наследия</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1,46</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164</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военных и гражданских захоронений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105,55</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165</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особо охраняемых историко-культурных и природных объектов (территорий)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90,21</w:t>
            </w:r>
          </w:p>
        </w:tc>
      </w:tr>
      <w:tr>
        <w:trPr>
          <w:trHeight w:val="396"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166</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лесного фонда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4 106 878,07</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167</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лесной растительности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2 307 695,35</w:t>
            </w:r>
          </w:p>
        </w:tc>
      </w:tr>
      <w:tr>
        <w:trPr>
          <w:trHeight w:val="337"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168</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прочих объектов лесного хозяйства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4 535 297,89</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169</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объектов водного фонда</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1 447,85</w:t>
            </w:r>
          </w:p>
        </w:tc>
      </w:tr>
      <w:tr>
        <w:trPr>
          <w:trHeight w:val="407"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170</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Под водными объектами</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312,47</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171</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гидротехнических сооружений</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1 012,94</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172</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Для размещения иных сооружений, расположенных на водных объектах</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645,35</w:t>
            </w:r>
          </w:p>
        </w:tc>
      </w:tr>
      <w:tr>
        <w:trPr>
          <w:trHeight w:val="450" w:hRule="atLeast"/>
        </w:trPr>
        <w:tc>
          <w:tcPr>
            <w:tcW w:w="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173</w:t>
            </w:r>
          </w:p>
        </w:tc>
        <w:tc>
          <w:tcPr>
            <w:tcW w:w="108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Земли запаса (неиспользуемые)</w:t>
            </w:r>
          </w:p>
        </w:tc>
        <w:tc>
          <w:tcPr>
            <w:tcW w:w="206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1 269 672,67</w:t>
            </w:r>
          </w:p>
        </w:tc>
      </w:tr>
    </w:tbl>
    <w:p>
      <w:pPr>
        <w:sectPr>
          <w:headerReference w:type="default" r:id="rId130"/>
          <w:footerReference w:type="default" r:id="rId131"/>
          <w:type w:val="nextPage"/>
          <w:pgSz w:orient="landscape" w:w="16838" w:h="11906"/>
          <w:pgMar w:left="1134" w:right="1134" w:gutter="0" w:header="709" w:top="1701" w:footer="709" w:bottom="851"/>
          <w:pgNumType w:fmt="decimal"/>
          <w:formProt w:val="false"/>
          <w:textDirection w:val="lrTb"/>
          <w:docGrid w:type="default" w:linePitch="299" w:charSpace="4096"/>
        </w:sect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По состоянию на 01.01.2017</w:t>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ind w:right="-144" w:hanging="0"/>
        <w:contextualSpacing/>
        <w:jc w:val="right"/>
        <w:rPr>
          <w:rFonts w:ascii="Times New Roman" w:hAnsi="Times New Roman" w:cs="Times New Roman"/>
          <w:bCs/>
          <w:sz w:val="28"/>
          <w:szCs w:val="28"/>
        </w:rPr>
      </w:pPr>
      <w:r>
        <w:rPr>
          <w:rFonts w:cs="Times New Roman" w:ascii="Times New Roman" w:hAnsi="Times New Roman"/>
          <w:bCs/>
          <w:sz w:val="28"/>
          <w:szCs w:val="28"/>
        </w:rPr>
        <w:t>Приложение № 10</w:t>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ConsPlusNormal"/>
        <w:jc w:val="center"/>
        <w:rPr>
          <w:b/>
          <w:b/>
          <w:sz w:val="24"/>
          <w:szCs w:val="24"/>
        </w:rPr>
      </w:pPr>
      <w:r>
        <w:rPr>
          <w:b/>
          <w:sz w:val="24"/>
          <w:szCs w:val="24"/>
        </w:rPr>
        <w:t>Мониторинг использования земель</w:t>
      </w:r>
    </w:p>
    <w:p>
      <w:pPr>
        <w:pStyle w:val="ConsPlusNormal"/>
        <w:jc w:val="center"/>
        <w:rPr>
          <w:sz w:val="24"/>
          <w:szCs w:val="24"/>
        </w:rPr>
      </w:pPr>
      <w:r>
        <w:rPr>
          <w:sz w:val="24"/>
          <w:szCs w:val="24"/>
        </w:rPr>
      </w:r>
    </w:p>
    <w:p>
      <w:pPr>
        <w:pStyle w:val="ConsPlusNormal"/>
        <w:jc w:val="center"/>
        <w:rPr>
          <w:b/>
          <w:b/>
          <w:sz w:val="24"/>
          <w:szCs w:val="24"/>
        </w:rPr>
      </w:pPr>
      <w:r>
        <w:rPr>
          <w:b/>
          <w:sz w:val="24"/>
          <w:szCs w:val="24"/>
        </w:rPr>
        <w:t>Распределение земель по формам собственности</w:t>
      </w:r>
    </w:p>
    <w:p>
      <w:pPr>
        <w:pStyle w:val="ConsPlusNormal"/>
        <w:jc w:val="center"/>
        <w:rPr>
          <w:b/>
          <w:b/>
          <w:sz w:val="24"/>
          <w:szCs w:val="24"/>
        </w:rPr>
      </w:pPr>
      <w:r>
        <w:rPr>
          <w:b/>
          <w:sz w:val="24"/>
          <w:szCs w:val="24"/>
        </w:rPr>
        <w:t xml:space="preserve">в разрезе категорий земель </w:t>
      </w:r>
      <w:hyperlink w:anchor="Par108">
        <w:r>
          <w:rPr>
            <w:b/>
            <w:sz w:val="24"/>
            <w:szCs w:val="24"/>
          </w:rPr>
          <w:t>&lt;*&gt;</w:t>
        </w:r>
      </w:hyperlink>
    </w:p>
    <w:p>
      <w:pPr>
        <w:pStyle w:val="ConsPlusNormal"/>
        <w:ind w:hanging="0"/>
        <w:jc w:val="right"/>
        <w:rPr>
          <w:sz w:val="24"/>
          <w:szCs w:val="24"/>
        </w:rPr>
      </w:pPr>
      <w:r>
        <w:rPr>
          <w:sz w:val="24"/>
          <w:szCs w:val="24"/>
        </w:rPr>
      </w:r>
    </w:p>
    <w:p>
      <w:pPr>
        <w:pStyle w:val="ConsPlusNormal"/>
        <w:ind w:hanging="0"/>
        <w:jc w:val="right"/>
        <w:rPr>
          <w:bCs/>
        </w:rPr>
      </w:pPr>
      <w:r>
        <w:rPr>
          <w:sz w:val="24"/>
          <w:szCs w:val="24"/>
        </w:rPr>
        <w:t>по состоянию на 01.01.2017</w:t>
      </w:r>
    </w:p>
    <w:tbl>
      <w:tblPr>
        <w:tblStyle w:val="a5"/>
        <w:tblW w:w="1074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47"/>
        <w:gridCol w:w="2637"/>
        <w:gridCol w:w="1134"/>
        <w:gridCol w:w="1134"/>
        <w:gridCol w:w="1276"/>
        <w:gridCol w:w="1134"/>
        <w:gridCol w:w="851"/>
        <w:gridCol w:w="1133"/>
        <w:gridCol w:w="993"/>
      </w:tblGrid>
      <w:tr>
        <w:trPr>
          <w:trHeight w:val="645" w:hRule="atLeast"/>
        </w:trPr>
        <w:tc>
          <w:tcPr>
            <w:tcW w:w="447" w:type="dxa"/>
            <w:vMerge w:val="restart"/>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 xml:space="preserve">№ </w:t>
            </w:r>
            <w:r>
              <w:rPr>
                <w:rFonts w:eastAsia="" w:cs="Times New Roman" w:ascii="Times New Roman" w:hAnsi="Times New Roman"/>
                <w:bCs/>
                <w:kern w:val="0"/>
                <w:sz w:val="22"/>
                <w:szCs w:val="22"/>
                <w:lang w:val="ru-RU" w:eastAsia="en-US" w:bidi="en-US"/>
              </w:rPr>
              <w:t>п/п</w:t>
            </w:r>
          </w:p>
        </w:tc>
        <w:tc>
          <w:tcPr>
            <w:tcW w:w="2637" w:type="dxa"/>
            <w:vMerge w:val="restart"/>
            <w:tcBorders/>
          </w:tcPr>
          <w:p>
            <w:pPr>
              <w:pStyle w:val="Normal"/>
              <w:widowControl/>
              <w:spacing w:lineRule="auto" w:line="240" w:before="0" w:after="0"/>
              <w:contextualSpacing/>
              <w:jc w:val="center"/>
              <w:rPr>
                <w:rFonts w:ascii="Times New Roman" w:hAnsi="Times New Roman" w:cs="Times New Roman"/>
                <w:bCs/>
              </w:rPr>
            </w:pPr>
            <w:r>
              <w:rPr>
                <w:rFonts w:eastAsia="" w:cs="Times New Roman" w:ascii="Times New Roman" w:hAnsi="Times New Roman"/>
                <w:kern w:val="0"/>
                <w:sz w:val="22"/>
                <w:szCs w:val="22"/>
                <w:lang w:val="en-US" w:eastAsia="en-US" w:bidi="en-US"/>
              </w:rPr>
              <w:t>Категории земель</w:t>
            </w:r>
          </w:p>
        </w:tc>
        <w:tc>
          <w:tcPr>
            <w:tcW w:w="1134" w:type="dxa"/>
            <w:vMerge w:val="restart"/>
            <w:tcBorders/>
          </w:tcPr>
          <w:p>
            <w:pPr>
              <w:pStyle w:val="Normal"/>
              <w:widowControl/>
              <w:spacing w:lineRule="auto" w:line="240" w:before="0" w:after="0"/>
              <w:contextualSpacing/>
              <w:jc w:val="center"/>
              <w:rPr>
                <w:rFonts w:ascii="Times New Roman" w:hAnsi="Times New Roman" w:cs="Times New Roman"/>
                <w:bCs/>
              </w:rPr>
            </w:pPr>
            <w:r>
              <w:rPr>
                <w:rFonts w:eastAsia="" w:cs="Times New Roman" w:ascii="Times New Roman" w:hAnsi="Times New Roman"/>
                <w:kern w:val="0"/>
                <w:sz w:val="22"/>
                <w:szCs w:val="22"/>
                <w:lang w:val="en-US" w:eastAsia="en-US" w:bidi="en-US"/>
              </w:rPr>
              <w:t>Площадь (тыс.га), всего</w:t>
            </w:r>
          </w:p>
        </w:tc>
        <w:tc>
          <w:tcPr>
            <w:tcW w:w="1134" w:type="dxa"/>
            <w:vMerge w:val="restart"/>
            <w:tcBorders/>
          </w:tcPr>
          <w:p>
            <w:pPr>
              <w:pStyle w:val="Normal"/>
              <w:widowControl/>
              <w:spacing w:lineRule="auto" w:line="240" w:before="0" w:after="0"/>
              <w:contextualSpacing/>
              <w:jc w:val="center"/>
              <w:rPr>
                <w:rFonts w:ascii="Times New Roman" w:hAnsi="Times New Roman" w:cs="Times New Roman"/>
                <w:bCs/>
              </w:rPr>
            </w:pPr>
            <w:r>
              <w:rPr>
                <w:rFonts w:eastAsia="" w:cs="Times New Roman" w:ascii="Times New Roman" w:hAnsi="Times New Roman"/>
                <w:kern w:val="0"/>
                <w:sz w:val="22"/>
                <w:szCs w:val="22"/>
                <w:lang w:val="en-US" w:eastAsia="en-US" w:bidi="en-US"/>
              </w:rPr>
              <w:t>В собственности граждан</w:t>
            </w:r>
          </w:p>
        </w:tc>
        <w:tc>
          <w:tcPr>
            <w:tcW w:w="1276" w:type="dxa"/>
            <w:vMerge w:val="restart"/>
            <w:tcBorders/>
          </w:tcPr>
          <w:p>
            <w:pPr>
              <w:pStyle w:val="Normal"/>
              <w:widowControl/>
              <w:spacing w:lineRule="auto" w:line="240" w:before="0" w:after="0"/>
              <w:contextualSpacing/>
              <w:jc w:val="center"/>
              <w:rPr>
                <w:rFonts w:ascii="Times New Roman" w:hAnsi="Times New Roman" w:cs="Times New Roman"/>
                <w:bCs/>
              </w:rPr>
            </w:pPr>
            <w:r>
              <w:rPr>
                <w:rFonts w:eastAsia="" w:cs="Times New Roman" w:ascii="Times New Roman" w:hAnsi="Times New Roman"/>
                <w:kern w:val="0"/>
                <w:sz w:val="22"/>
                <w:szCs w:val="22"/>
                <w:lang w:val="en-US" w:eastAsia="en-US" w:bidi="en-US"/>
              </w:rPr>
              <w:t>В собственности юр. лиц</w:t>
            </w:r>
          </w:p>
        </w:tc>
        <w:tc>
          <w:tcPr>
            <w:tcW w:w="1134" w:type="dxa"/>
            <w:vMerge w:val="restart"/>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kern w:val="0"/>
                <w:sz w:val="22"/>
                <w:szCs w:val="22"/>
                <w:lang w:val="ru-RU" w:eastAsia="en-US" w:bidi="en-US"/>
              </w:rPr>
              <w:t>В государственной и муниципальной собственности</w:t>
            </w:r>
          </w:p>
        </w:tc>
        <w:tc>
          <w:tcPr>
            <w:tcW w:w="2977" w:type="dxa"/>
            <w:gridSpan w:val="3"/>
            <w:tcBorders/>
          </w:tcPr>
          <w:p>
            <w:pPr>
              <w:pStyle w:val="Normal"/>
              <w:widowControl/>
              <w:spacing w:lineRule="auto" w:line="240" w:before="0" w:after="0"/>
              <w:contextualSpacing/>
              <w:jc w:val="center"/>
              <w:rPr>
                <w:rFonts w:ascii="Times New Roman" w:hAnsi="Times New Roman" w:cs="Times New Roman"/>
                <w:bCs/>
              </w:rPr>
            </w:pPr>
            <w:r>
              <w:rPr>
                <w:rFonts w:eastAsia="" w:cs="Times New Roman" w:ascii="Times New Roman" w:hAnsi="Times New Roman"/>
                <w:kern w:val="0"/>
                <w:sz w:val="22"/>
                <w:szCs w:val="22"/>
                <w:lang w:val="en-US" w:eastAsia="en-US" w:bidi="en-US"/>
              </w:rPr>
              <w:t>Из них</w:t>
            </w:r>
          </w:p>
        </w:tc>
      </w:tr>
      <w:tr>
        <w:trPr>
          <w:trHeight w:val="645" w:hRule="atLeast"/>
        </w:trPr>
        <w:tc>
          <w:tcPr>
            <w:tcW w:w="447" w:type="dxa"/>
            <w:vMerge w:val="continue"/>
            <w:tcBorders/>
          </w:tcPr>
          <w:p>
            <w:pPr>
              <w:pStyle w:val="Normal"/>
              <w:widowControl/>
              <w:spacing w:lineRule="auto" w:line="240" w:before="0" w:after="0"/>
              <w:contextualSpacing/>
              <w:jc w:val="center"/>
              <w:rPr>
                <w:rFonts w:ascii="Times New Roman" w:hAnsi="Times New Roman" w:cs="Times New Roman"/>
                <w:bCs/>
              </w:rPr>
            </w:pPr>
            <w:r>
              <w:rPr>
                <w:rFonts w:eastAsia="" w:cs="Times New Roman" w:ascii="Times New Roman" w:hAnsi="Times New Roman"/>
                <w:bCs/>
                <w:kern w:val="0"/>
                <w:sz w:val="22"/>
                <w:szCs w:val="22"/>
                <w:lang w:val="en-US" w:eastAsia="en-US" w:bidi="en-US"/>
              </w:rPr>
            </w:r>
          </w:p>
        </w:tc>
        <w:tc>
          <w:tcPr>
            <w:tcW w:w="2637" w:type="dxa"/>
            <w:vMerge w:val="continue"/>
            <w:tcBorders/>
          </w:tcPr>
          <w:p>
            <w:pPr>
              <w:pStyle w:val="Normal"/>
              <w:widowControl/>
              <w:spacing w:lineRule="auto" w:line="240" w:before="0" w:after="0"/>
              <w:contextualSpacing/>
              <w:jc w:val="center"/>
              <w:rPr>
                <w:rFonts w:ascii="Times New Roman" w:hAnsi="Times New Roman" w:cs="Times New Roman"/>
              </w:rPr>
            </w:pPr>
            <w:r>
              <w:rPr>
                <w:rFonts w:eastAsia="" w:cs="Times New Roman" w:ascii="Times New Roman" w:hAnsi="Times New Roman"/>
                <w:kern w:val="0"/>
                <w:sz w:val="22"/>
                <w:szCs w:val="22"/>
                <w:lang w:val="en-US" w:eastAsia="en-US" w:bidi="en-US"/>
              </w:rPr>
            </w:r>
          </w:p>
        </w:tc>
        <w:tc>
          <w:tcPr>
            <w:tcW w:w="1134" w:type="dxa"/>
            <w:vMerge w:val="continue"/>
            <w:tcBorders/>
          </w:tcPr>
          <w:p>
            <w:pPr>
              <w:pStyle w:val="Normal"/>
              <w:widowControl/>
              <w:spacing w:lineRule="auto" w:line="240" w:before="0" w:after="0"/>
              <w:contextualSpacing/>
              <w:jc w:val="center"/>
              <w:rPr>
                <w:rFonts w:ascii="Times New Roman" w:hAnsi="Times New Roman" w:cs="Times New Roman"/>
              </w:rPr>
            </w:pPr>
            <w:r>
              <w:rPr>
                <w:rFonts w:eastAsia="" w:cs="Times New Roman" w:ascii="Times New Roman" w:hAnsi="Times New Roman"/>
                <w:kern w:val="0"/>
                <w:sz w:val="22"/>
                <w:szCs w:val="22"/>
                <w:lang w:val="en-US" w:eastAsia="en-US" w:bidi="en-US"/>
              </w:rPr>
            </w:r>
          </w:p>
        </w:tc>
        <w:tc>
          <w:tcPr>
            <w:tcW w:w="1134" w:type="dxa"/>
            <w:vMerge w:val="continue"/>
            <w:tcBorders/>
          </w:tcPr>
          <w:p>
            <w:pPr>
              <w:pStyle w:val="Normal"/>
              <w:widowControl/>
              <w:spacing w:lineRule="auto" w:line="240" w:before="0" w:after="0"/>
              <w:contextualSpacing/>
              <w:jc w:val="center"/>
              <w:rPr>
                <w:rFonts w:ascii="Times New Roman" w:hAnsi="Times New Roman" w:cs="Times New Roman"/>
              </w:rPr>
            </w:pPr>
            <w:r>
              <w:rPr>
                <w:rFonts w:eastAsia="" w:cs="Times New Roman" w:ascii="Times New Roman" w:hAnsi="Times New Roman"/>
                <w:kern w:val="0"/>
                <w:sz w:val="22"/>
                <w:szCs w:val="22"/>
                <w:lang w:val="en-US" w:eastAsia="en-US" w:bidi="en-US"/>
              </w:rPr>
            </w:r>
          </w:p>
        </w:tc>
        <w:tc>
          <w:tcPr>
            <w:tcW w:w="1276" w:type="dxa"/>
            <w:vMerge w:val="continue"/>
            <w:tcBorders/>
          </w:tcPr>
          <w:p>
            <w:pPr>
              <w:pStyle w:val="Normal"/>
              <w:widowControl/>
              <w:spacing w:lineRule="auto" w:line="240" w:before="0" w:after="0"/>
              <w:contextualSpacing/>
              <w:jc w:val="center"/>
              <w:rPr>
                <w:rFonts w:ascii="Times New Roman" w:hAnsi="Times New Roman" w:cs="Times New Roman"/>
              </w:rPr>
            </w:pPr>
            <w:r>
              <w:rPr>
                <w:rFonts w:eastAsia="" w:cs="Times New Roman" w:ascii="Times New Roman" w:hAnsi="Times New Roman"/>
                <w:kern w:val="0"/>
                <w:sz w:val="22"/>
                <w:szCs w:val="22"/>
                <w:lang w:val="en-US" w:eastAsia="en-US" w:bidi="en-US"/>
              </w:rPr>
            </w:r>
          </w:p>
        </w:tc>
        <w:tc>
          <w:tcPr>
            <w:tcW w:w="1134" w:type="dxa"/>
            <w:vMerge w:val="continue"/>
            <w:tcBorders/>
          </w:tcPr>
          <w:p>
            <w:pPr>
              <w:pStyle w:val="Normal"/>
              <w:widowControl/>
              <w:spacing w:lineRule="auto" w:line="240" w:before="0" w:after="0"/>
              <w:contextualSpacing/>
              <w:jc w:val="center"/>
              <w:rPr>
                <w:rFonts w:ascii="Times New Roman" w:hAnsi="Times New Roman" w:cs="Times New Roman"/>
              </w:rPr>
            </w:pPr>
            <w:r>
              <w:rPr>
                <w:rFonts w:eastAsia="" w:cs="Times New Roman" w:ascii="Times New Roman" w:hAnsi="Times New Roman"/>
                <w:kern w:val="0"/>
                <w:sz w:val="22"/>
                <w:szCs w:val="22"/>
                <w:lang w:val="en-US" w:eastAsia="en-US" w:bidi="en-US"/>
              </w:rPr>
            </w:r>
          </w:p>
        </w:tc>
        <w:tc>
          <w:tcPr>
            <w:tcW w:w="851" w:type="dxa"/>
            <w:tcBorders/>
          </w:tcPr>
          <w:p>
            <w:pPr>
              <w:pStyle w:val="ConsPlusNormal"/>
              <w:widowControl w:val="false"/>
              <w:spacing w:before="0" w:after="0"/>
              <w:ind w:hanging="0"/>
              <w:jc w:val="center"/>
              <w:rPr>
                <w:sz w:val="22"/>
                <w:szCs w:val="22"/>
              </w:rPr>
            </w:pPr>
            <w:r>
              <w:rPr>
                <w:kern w:val="0"/>
                <w:sz w:val="22"/>
                <w:szCs w:val="22"/>
                <w:lang w:val="en-US" w:eastAsia="en-US" w:bidi="en-US"/>
              </w:rPr>
              <w:t>Собственник РФ</w:t>
            </w:r>
          </w:p>
        </w:tc>
        <w:tc>
          <w:tcPr>
            <w:tcW w:w="1133" w:type="dxa"/>
            <w:tcBorders/>
          </w:tcPr>
          <w:p>
            <w:pPr>
              <w:pStyle w:val="ConsPlusNormal"/>
              <w:widowControl w:val="false"/>
              <w:spacing w:before="0" w:after="0"/>
              <w:ind w:hanging="0"/>
              <w:jc w:val="center"/>
              <w:rPr>
                <w:sz w:val="22"/>
                <w:szCs w:val="22"/>
              </w:rPr>
            </w:pPr>
            <w:r>
              <w:rPr>
                <w:kern w:val="0"/>
                <w:sz w:val="22"/>
                <w:szCs w:val="22"/>
                <w:lang w:val="en-US" w:eastAsia="en-US" w:bidi="en-US"/>
              </w:rPr>
              <w:t>Собственник субъект РФ</w:t>
            </w:r>
          </w:p>
        </w:tc>
        <w:tc>
          <w:tcPr>
            <w:tcW w:w="993" w:type="dxa"/>
            <w:tcBorders/>
          </w:tcPr>
          <w:p>
            <w:pPr>
              <w:pStyle w:val="ConsPlusNormal"/>
              <w:widowControl w:val="false"/>
              <w:spacing w:before="0" w:after="0"/>
              <w:ind w:hanging="0"/>
              <w:jc w:val="center"/>
              <w:rPr>
                <w:sz w:val="22"/>
                <w:szCs w:val="22"/>
              </w:rPr>
            </w:pPr>
            <w:r>
              <w:rPr>
                <w:kern w:val="0"/>
                <w:sz w:val="22"/>
                <w:szCs w:val="22"/>
                <w:lang w:val="en-US" w:eastAsia="en-US" w:bidi="en-US"/>
              </w:rPr>
              <w:t>Муниципальная собственность</w:t>
            </w:r>
          </w:p>
        </w:tc>
      </w:tr>
      <w:tr>
        <w:trPr/>
        <w:tc>
          <w:tcPr>
            <w:tcW w:w="447"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w:t>
            </w:r>
          </w:p>
        </w:tc>
        <w:tc>
          <w:tcPr>
            <w:tcW w:w="2637"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2</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3</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4</w:t>
            </w:r>
          </w:p>
        </w:tc>
        <w:tc>
          <w:tcPr>
            <w:tcW w:w="1276"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5</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6</w:t>
            </w:r>
          </w:p>
        </w:tc>
        <w:tc>
          <w:tcPr>
            <w:tcW w:w="851"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7</w:t>
            </w:r>
          </w:p>
        </w:tc>
        <w:tc>
          <w:tcPr>
            <w:tcW w:w="113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8</w:t>
            </w:r>
          </w:p>
        </w:tc>
        <w:tc>
          <w:tcPr>
            <w:tcW w:w="99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9</w:t>
            </w:r>
          </w:p>
        </w:tc>
      </w:tr>
      <w:tr>
        <w:trPr/>
        <w:tc>
          <w:tcPr>
            <w:tcW w:w="447"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w:t>
            </w:r>
          </w:p>
        </w:tc>
        <w:tc>
          <w:tcPr>
            <w:tcW w:w="2637" w:type="dxa"/>
            <w:tcBorders/>
          </w:tcPr>
          <w:p>
            <w:pPr>
              <w:pStyle w:val="Normal"/>
              <w:widowControl/>
              <w:spacing w:lineRule="auto" w:line="240" w:before="0" w:after="0"/>
              <w:contextualSpacing/>
              <w:jc w:val="left"/>
              <w:rPr>
                <w:rFonts w:ascii="Times New Roman" w:hAnsi="Times New Roman" w:cs="Times New Roman"/>
                <w:bCs/>
                <w:lang w:val="ru-RU"/>
              </w:rPr>
            </w:pPr>
            <w:r>
              <w:rPr>
                <w:rFonts w:eastAsia="" w:cs="Times New Roman" w:ascii="Times New Roman" w:hAnsi="Times New Roman"/>
                <w:kern w:val="0"/>
                <w:sz w:val="22"/>
                <w:szCs w:val="22"/>
                <w:lang w:val="en-US" w:eastAsia="en-US" w:bidi="en-US"/>
              </w:rPr>
              <w:t>Земли сельскохозяйственного назначения</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1862,3</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587,6</w:t>
            </w:r>
          </w:p>
        </w:tc>
        <w:tc>
          <w:tcPr>
            <w:tcW w:w="1276"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226,5</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1048,2</w:t>
            </w:r>
          </w:p>
        </w:tc>
        <w:tc>
          <w:tcPr>
            <w:tcW w:w="851"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29,4</w:t>
            </w:r>
          </w:p>
        </w:tc>
        <w:tc>
          <w:tcPr>
            <w:tcW w:w="113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5,9</w:t>
            </w:r>
          </w:p>
        </w:tc>
        <w:tc>
          <w:tcPr>
            <w:tcW w:w="99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143,6</w:t>
            </w:r>
          </w:p>
        </w:tc>
      </w:tr>
      <w:tr>
        <w:trPr/>
        <w:tc>
          <w:tcPr>
            <w:tcW w:w="447"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2</w:t>
            </w:r>
          </w:p>
        </w:tc>
        <w:tc>
          <w:tcPr>
            <w:tcW w:w="2637" w:type="dxa"/>
            <w:tcBorders/>
          </w:tcPr>
          <w:p>
            <w:pPr>
              <w:pStyle w:val="Normal"/>
              <w:widowControl/>
              <w:spacing w:lineRule="auto" w:line="240" w:before="0" w:after="0"/>
              <w:contextualSpacing/>
              <w:jc w:val="left"/>
              <w:rPr>
                <w:rFonts w:ascii="Times New Roman" w:hAnsi="Times New Roman" w:cs="Times New Roman"/>
                <w:bCs/>
                <w:lang w:val="ru-RU"/>
              </w:rPr>
            </w:pPr>
            <w:r>
              <w:rPr>
                <w:rFonts w:eastAsia="" w:cs="Times New Roman" w:ascii="Times New Roman" w:hAnsi="Times New Roman"/>
                <w:kern w:val="0"/>
                <w:sz w:val="22"/>
                <w:szCs w:val="22"/>
                <w:lang w:val="en-US" w:eastAsia="en-US" w:bidi="en-US"/>
              </w:rPr>
              <w:t>Земли населенных пунктов</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249,4</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29,2</w:t>
            </w:r>
          </w:p>
        </w:tc>
        <w:tc>
          <w:tcPr>
            <w:tcW w:w="1276"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6,7</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213,5</w:t>
            </w:r>
          </w:p>
        </w:tc>
        <w:tc>
          <w:tcPr>
            <w:tcW w:w="851"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33,4</w:t>
            </w:r>
          </w:p>
        </w:tc>
        <w:tc>
          <w:tcPr>
            <w:tcW w:w="113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2,8</w:t>
            </w:r>
          </w:p>
        </w:tc>
        <w:tc>
          <w:tcPr>
            <w:tcW w:w="99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28,4</w:t>
            </w:r>
          </w:p>
        </w:tc>
      </w:tr>
      <w:tr>
        <w:trPr/>
        <w:tc>
          <w:tcPr>
            <w:tcW w:w="447"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3</w:t>
            </w:r>
          </w:p>
        </w:tc>
        <w:tc>
          <w:tcPr>
            <w:tcW w:w="2637" w:type="dxa"/>
            <w:tcBorders/>
          </w:tcPr>
          <w:p>
            <w:pPr>
              <w:pStyle w:val="Normal"/>
              <w:widowControl/>
              <w:spacing w:lineRule="auto" w:line="240" w:before="0" w:after="0"/>
              <w:contextualSpacing/>
              <w:jc w:val="left"/>
              <w:rPr>
                <w:rFonts w:ascii="Times New Roman" w:hAnsi="Times New Roman" w:cs="Times New Roman"/>
                <w:bCs/>
                <w:lang w:val="ru-RU"/>
              </w:rPr>
            </w:pPr>
            <w:r>
              <w:rPr>
                <w:rFonts w:eastAsia="" w:cs="Times New Roman" w:ascii="Times New Roman" w:hAnsi="Times New Roman"/>
                <w:kern w:val="0"/>
                <w:sz w:val="22"/>
                <w:szCs w:val="22"/>
                <w:lang w:val="ru-RU" w:eastAsia="en-US" w:bidi="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384,3</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0,1</w:t>
            </w:r>
          </w:p>
        </w:tc>
        <w:tc>
          <w:tcPr>
            <w:tcW w:w="1276"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1,6</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382,6</w:t>
            </w:r>
          </w:p>
        </w:tc>
        <w:tc>
          <w:tcPr>
            <w:tcW w:w="851"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237,8</w:t>
            </w:r>
          </w:p>
        </w:tc>
        <w:tc>
          <w:tcPr>
            <w:tcW w:w="113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12</w:t>
            </w:r>
          </w:p>
        </w:tc>
        <w:tc>
          <w:tcPr>
            <w:tcW w:w="99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11,7</w:t>
            </w:r>
          </w:p>
        </w:tc>
      </w:tr>
      <w:tr>
        <w:trPr/>
        <w:tc>
          <w:tcPr>
            <w:tcW w:w="447"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4</w:t>
            </w:r>
          </w:p>
        </w:tc>
        <w:tc>
          <w:tcPr>
            <w:tcW w:w="2637" w:type="dxa"/>
            <w:tcBorders/>
          </w:tcPr>
          <w:p>
            <w:pPr>
              <w:pStyle w:val="Normal"/>
              <w:widowControl/>
              <w:spacing w:lineRule="auto" w:line="240" w:before="0" w:after="0"/>
              <w:contextualSpacing/>
              <w:jc w:val="left"/>
              <w:rPr>
                <w:rFonts w:ascii="Times New Roman" w:hAnsi="Times New Roman" w:cs="Times New Roman"/>
                <w:bCs/>
                <w:lang w:val="ru-RU"/>
              </w:rPr>
            </w:pPr>
            <w:r>
              <w:rPr>
                <w:rFonts w:eastAsia="" w:cs="Times New Roman" w:ascii="Times New Roman" w:hAnsi="Times New Roman"/>
                <w:kern w:val="0"/>
                <w:sz w:val="22"/>
                <w:szCs w:val="22"/>
                <w:lang w:val="ru-RU" w:eastAsia="en-US" w:bidi="en-US"/>
              </w:rPr>
              <w:t>Земли особо охраняемых территорий и объектов</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847,3</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0,2</w:t>
            </w:r>
          </w:p>
        </w:tc>
        <w:tc>
          <w:tcPr>
            <w:tcW w:w="1276"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0,1</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847,0</w:t>
            </w:r>
          </w:p>
        </w:tc>
        <w:tc>
          <w:tcPr>
            <w:tcW w:w="851"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381,4</w:t>
            </w:r>
          </w:p>
        </w:tc>
        <w:tc>
          <w:tcPr>
            <w:tcW w:w="113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51,4</w:t>
            </w:r>
          </w:p>
        </w:tc>
        <w:tc>
          <w:tcPr>
            <w:tcW w:w="99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w:t>
            </w:r>
          </w:p>
        </w:tc>
      </w:tr>
      <w:tr>
        <w:trPr/>
        <w:tc>
          <w:tcPr>
            <w:tcW w:w="447"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5</w:t>
            </w:r>
          </w:p>
        </w:tc>
        <w:tc>
          <w:tcPr>
            <w:tcW w:w="2637" w:type="dxa"/>
            <w:tcBorders/>
          </w:tcPr>
          <w:p>
            <w:pPr>
              <w:pStyle w:val="Normal"/>
              <w:widowControl/>
              <w:spacing w:lineRule="auto" w:line="240" w:before="0" w:after="0"/>
              <w:contextualSpacing/>
              <w:jc w:val="left"/>
              <w:rPr>
                <w:rFonts w:ascii="Times New Roman" w:hAnsi="Times New Roman" w:cs="Times New Roman"/>
                <w:bCs/>
                <w:lang w:val="ru-RU"/>
              </w:rPr>
            </w:pPr>
            <w:r>
              <w:rPr>
                <w:rFonts w:eastAsia="" w:cs="Times New Roman" w:ascii="Times New Roman" w:hAnsi="Times New Roman"/>
                <w:kern w:val="0"/>
                <w:sz w:val="24"/>
                <w:szCs w:val="24"/>
                <w:lang w:val="en-US" w:eastAsia="en-US" w:bidi="en-US"/>
              </w:rPr>
              <w:t>Земли лесного фонда</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12150,9</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w:t>
            </w:r>
          </w:p>
        </w:tc>
        <w:tc>
          <w:tcPr>
            <w:tcW w:w="1276"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12150,9</w:t>
            </w:r>
          </w:p>
        </w:tc>
        <w:tc>
          <w:tcPr>
            <w:tcW w:w="851"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7799,2</w:t>
            </w:r>
          </w:p>
        </w:tc>
        <w:tc>
          <w:tcPr>
            <w:tcW w:w="113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30,9</w:t>
            </w:r>
          </w:p>
        </w:tc>
        <w:tc>
          <w:tcPr>
            <w:tcW w:w="99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0,1</w:t>
            </w:r>
          </w:p>
        </w:tc>
      </w:tr>
      <w:tr>
        <w:trPr/>
        <w:tc>
          <w:tcPr>
            <w:tcW w:w="447"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6</w:t>
            </w:r>
          </w:p>
        </w:tc>
        <w:tc>
          <w:tcPr>
            <w:tcW w:w="2637" w:type="dxa"/>
            <w:tcBorders/>
          </w:tcPr>
          <w:p>
            <w:pPr>
              <w:pStyle w:val="Normal"/>
              <w:widowControl/>
              <w:spacing w:lineRule="auto" w:line="240" w:before="0" w:after="0"/>
              <w:contextualSpacing/>
              <w:jc w:val="left"/>
              <w:rPr>
                <w:rFonts w:ascii="Times New Roman" w:hAnsi="Times New Roman" w:cs="Times New Roman"/>
                <w:bCs/>
                <w:lang w:val="ru-RU"/>
              </w:rPr>
            </w:pPr>
            <w:r>
              <w:rPr>
                <w:rFonts w:eastAsia="" w:cs="Times New Roman" w:ascii="Times New Roman" w:hAnsi="Times New Roman"/>
                <w:kern w:val="0"/>
                <w:sz w:val="24"/>
                <w:szCs w:val="24"/>
                <w:lang w:val="en-US" w:eastAsia="en-US" w:bidi="en-US"/>
              </w:rPr>
              <w:t>Земли водного фонда</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323,2</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w:t>
            </w:r>
          </w:p>
        </w:tc>
        <w:tc>
          <w:tcPr>
            <w:tcW w:w="1276"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323,2</w:t>
            </w:r>
          </w:p>
        </w:tc>
        <w:tc>
          <w:tcPr>
            <w:tcW w:w="851"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1,3</w:t>
            </w:r>
          </w:p>
        </w:tc>
        <w:tc>
          <w:tcPr>
            <w:tcW w:w="113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w:t>
            </w:r>
          </w:p>
        </w:tc>
        <w:tc>
          <w:tcPr>
            <w:tcW w:w="99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w:t>
            </w:r>
          </w:p>
        </w:tc>
      </w:tr>
      <w:tr>
        <w:trPr/>
        <w:tc>
          <w:tcPr>
            <w:tcW w:w="447"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7</w:t>
            </w:r>
          </w:p>
        </w:tc>
        <w:tc>
          <w:tcPr>
            <w:tcW w:w="2637" w:type="dxa"/>
            <w:tcBorders/>
          </w:tcPr>
          <w:p>
            <w:pPr>
              <w:pStyle w:val="Normal"/>
              <w:widowControl/>
              <w:spacing w:lineRule="auto" w:line="240" w:before="0" w:after="0"/>
              <w:contextualSpacing/>
              <w:jc w:val="left"/>
              <w:rPr>
                <w:rFonts w:ascii="Times New Roman" w:hAnsi="Times New Roman" w:cs="Times New Roman"/>
                <w:bCs/>
                <w:lang w:val="ru-RU"/>
              </w:rPr>
            </w:pPr>
            <w:r>
              <w:rPr>
                <w:rFonts w:eastAsia="" w:cs="Times New Roman" w:ascii="Times New Roman" w:hAnsi="Times New Roman"/>
                <w:kern w:val="0"/>
                <w:sz w:val="24"/>
                <w:szCs w:val="24"/>
                <w:lang w:val="en-US" w:eastAsia="en-US" w:bidi="en-US"/>
              </w:rPr>
              <w:t>Земли запаса</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649,9</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w:t>
            </w:r>
          </w:p>
        </w:tc>
        <w:tc>
          <w:tcPr>
            <w:tcW w:w="1276"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649,9</w:t>
            </w:r>
          </w:p>
        </w:tc>
        <w:tc>
          <w:tcPr>
            <w:tcW w:w="851"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6,8</w:t>
            </w:r>
          </w:p>
        </w:tc>
        <w:tc>
          <w:tcPr>
            <w:tcW w:w="113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w:t>
            </w:r>
          </w:p>
        </w:tc>
        <w:tc>
          <w:tcPr>
            <w:tcW w:w="99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w:t>
            </w:r>
          </w:p>
        </w:tc>
      </w:tr>
      <w:tr>
        <w:trPr/>
        <w:tc>
          <w:tcPr>
            <w:tcW w:w="447"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en-US" w:eastAsia="en-US" w:bidi="en-US"/>
              </w:rPr>
            </w:r>
          </w:p>
        </w:tc>
        <w:tc>
          <w:tcPr>
            <w:tcW w:w="2637"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kern w:val="0"/>
                <w:sz w:val="22"/>
                <w:szCs w:val="22"/>
                <w:lang w:val="en-US" w:eastAsia="en-US" w:bidi="en-US"/>
              </w:rPr>
              <w:t>Итого земель:</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16467,3</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617,1</w:t>
            </w:r>
          </w:p>
        </w:tc>
        <w:tc>
          <w:tcPr>
            <w:tcW w:w="1276"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234,9</w:t>
            </w:r>
          </w:p>
        </w:tc>
        <w:tc>
          <w:tcPr>
            <w:tcW w:w="1134"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15615,3</w:t>
            </w:r>
          </w:p>
        </w:tc>
        <w:tc>
          <w:tcPr>
            <w:tcW w:w="851"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8489,3</w:t>
            </w:r>
          </w:p>
        </w:tc>
        <w:tc>
          <w:tcPr>
            <w:tcW w:w="113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103</w:t>
            </w:r>
          </w:p>
        </w:tc>
        <w:tc>
          <w:tcPr>
            <w:tcW w:w="993" w:type="dxa"/>
            <w:tcBorders/>
          </w:tcPr>
          <w:p>
            <w:pPr>
              <w:pStyle w:val="Normal"/>
              <w:widowControl/>
              <w:spacing w:lineRule="auto" w:line="240" w:before="0" w:after="0"/>
              <w:contextualSpacing/>
              <w:jc w:val="center"/>
              <w:rPr>
                <w:rFonts w:ascii="Times New Roman" w:hAnsi="Times New Roman" w:cs="Times New Roman"/>
                <w:bCs/>
                <w:lang w:val="ru-RU"/>
              </w:rPr>
            </w:pPr>
            <w:r>
              <w:rPr>
                <w:rFonts w:eastAsia="" w:cs="Times New Roman" w:ascii="Times New Roman" w:hAnsi="Times New Roman"/>
                <w:bCs/>
                <w:kern w:val="0"/>
                <w:sz w:val="22"/>
                <w:szCs w:val="22"/>
                <w:lang w:val="ru-RU" w:eastAsia="en-US" w:bidi="en-US"/>
              </w:rPr>
              <w:t>183,8</w:t>
            </w:r>
          </w:p>
        </w:tc>
      </w:tr>
    </w:tbl>
    <w:p>
      <w:pPr>
        <w:pStyle w:val="Normal"/>
        <w:spacing w:lineRule="auto" w:line="240" w:before="0" w:after="0"/>
        <w:contextualSpacing/>
        <w:jc w:val="center"/>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ConsPlusNormal"/>
        <w:ind w:firstLine="540"/>
        <w:jc w:val="both"/>
        <w:rPr/>
      </w:pPr>
      <w:r>
        <w:rPr/>
        <w:t>--------------------------------</w:t>
      </w:r>
    </w:p>
    <w:p>
      <w:pPr>
        <w:pStyle w:val="ConsPlusNormal"/>
        <w:ind w:firstLine="540"/>
        <w:jc w:val="both"/>
        <w:rPr>
          <w:sz w:val="24"/>
          <w:szCs w:val="24"/>
        </w:rPr>
      </w:pPr>
      <w:bookmarkStart w:id="573" w:name="Par108"/>
      <w:bookmarkEnd w:id="573"/>
      <w:r>
        <w:rPr>
          <w:sz w:val="24"/>
          <w:szCs w:val="24"/>
        </w:rPr>
        <w:t xml:space="preserve">&lt;*&gt; Заполняется согласно </w:t>
      </w:r>
      <w:hyperlink r:id="rId132">
        <w:r>
          <w:rPr>
            <w:sz w:val="24"/>
            <w:szCs w:val="24"/>
          </w:rPr>
          <w:t>форме</w:t>
        </w:r>
      </w:hyperlink>
      <w:r>
        <w:rPr>
          <w:sz w:val="24"/>
          <w:szCs w:val="24"/>
        </w:rPr>
        <w:t xml:space="preserve"> федеральной статистической отчетности N 22-1.</w:t>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sectPr>
          <w:headerReference w:type="default" r:id="rId133"/>
          <w:footerReference w:type="default" r:id="rId134"/>
          <w:type w:val="nextPage"/>
          <w:pgSz w:w="11906" w:h="16838"/>
          <w:pgMar w:left="851" w:right="851" w:gutter="0" w:header="709" w:top="1134" w:footer="709" w:bottom="1134"/>
          <w:pgNumType w:fmt="decimal"/>
          <w:formProt w:val="false"/>
          <w:textDirection w:val="lrTb"/>
          <w:docGrid w:type="default" w:linePitch="299" w:charSpace="4096"/>
        </w:sect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t>Приложение № 11</w:t>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ConsPlusNormal"/>
        <w:numPr>
          <w:ilvl w:val="0"/>
          <w:numId w:val="0"/>
        </w:numPr>
        <w:ind w:firstLine="720"/>
        <w:jc w:val="center"/>
        <w:outlineLvl w:val="0"/>
        <w:rPr>
          <w:b/>
          <w:b/>
          <w:sz w:val="24"/>
          <w:szCs w:val="24"/>
        </w:rPr>
      </w:pPr>
      <w:r>
        <w:rPr>
          <w:b/>
          <w:sz w:val="24"/>
          <w:szCs w:val="24"/>
        </w:rPr>
        <w:t>Мониторинг использования земель</w:t>
      </w:r>
    </w:p>
    <w:p>
      <w:pPr>
        <w:pStyle w:val="ConsPlusNormal"/>
        <w:numPr>
          <w:ilvl w:val="0"/>
          <w:numId w:val="0"/>
        </w:numPr>
        <w:ind w:firstLine="720"/>
        <w:jc w:val="center"/>
        <w:outlineLvl w:val="0"/>
        <w:rPr>
          <w:b/>
          <w:b/>
          <w:sz w:val="24"/>
          <w:szCs w:val="24"/>
        </w:rPr>
      </w:pPr>
      <w:r>
        <w:rPr>
          <w:b/>
          <w:sz w:val="24"/>
          <w:szCs w:val="24"/>
        </w:rPr>
        <w:t xml:space="preserve">Распределение земельных участков по формам собственности по видам разрешенного использования </w:t>
      </w:r>
      <w:hyperlink r:id="rId135">
        <w:r>
          <w:rPr>
            <w:b/>
            <w:sz w:val="24"/>
            <w:szCs w:val="24"/>
          </w:rPr>
          <w:t xml:space="preserve">&lt;*&gt; </w:t>
        </w:r>
      </w:hyperlink>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по состоянию на 01.01.2017</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Площадь в га</w:t>
      </w:r>
    </w:p>
    <w:p>
      <w:pPr>
        <w:pStyle w:val="Normal"/>
        <w:spacing w:lineRule="auto" w:line="240" w:before="0" w:after="0"/>
        <w:ind w:firstLine="540"/>
        <w:jc w:val="both"/>
        <w:rPr>
          <w:rFonts w:ascii="Times New Roman" w:hAnsi="Times New Roman" w:cs="Times New Roman"/>
          <w:sz w:val="18"/>
          <w:szCs w:val="18"/>
        </w:rPr>
      </w:pPr>
      <w:r>
        <w:rPr>
          <w:rFonts w:cs="Times New Roman" w:ascii="Times New Roman" w:hAnsi="Times New Roman"/>
          <w:sz w:val="18"/>
          <w:szCs w:val="18"/>
        </w:rPr>
        <w:t>-</w:t>
      </w:r>
    </w:p>
    <w:tbl>
      <w:tblPr>
        <w:tblpPr w:bottomFromText="0" w:horzAnchor="margin" w:leftFromText="180" w:rightFromText="180" w:tblpX="0" w:tblpXSpec="center" w:tblpY="297" w:topFromText="0" w:vertAnchor="text"/>
        <w:tblW w:w="14633"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51"/>
        <w:gridCol w:w="3663"/>
        <w:gridCol w:w="1582"/>
        <w:gridCol w:w="1842"/>
        <w:gridCol w:w="1134"/>
        <w:gridCol w:w="1560"/>
        <w:gridCol w:w="1416"/>
        <w:gridCol w:w="1276"/>
        <w:gridCol w:w="1307"/>
      </w:tblGrid>
      <w:tr>
        <w:trPr>
          <w:trHeight w:val="264" w:hRule="atLeast"/>
        </w:trPr>
        <w:tc>
          <w:tcPr>
            <w:tcW w:w="14631"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right" w:pos="1877" w:leader="none"/>
              </w:tabs>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Мониторинг использования земель по состоянию на 25.01.2017 Приморский край (Га)</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п/п</w:t>
            </w:r>
          </w:p>
        </w:tc>
        <w:tc>
          <w:tcPr>
            <w:tcW w:w="366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Разрешенное использование</w:t>
            </w:r>
          </w:p>
        </w:tc>
        <w:tc>
          <w:tcPr>
            <w:tcW w:w="15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Площадь всего</w:t>
            </w:r>
          </w:p>
        </w:tc>
        <w:tc>
          <w:tcPr>
            <w:tcW w:w="1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В собств. граждан</w:t>
            </w:r>
          </w:p>
        </w:tc>
        <w:tc>
          <w:tcPr>
            <w:tcW w:w="11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В собств. юр.лиц</w:t>
            </w:r>
          </w:p>
        </w:tc>
        <w:tc>
          <w:tcPr>
            <w:tcW w:w="15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В гос/мун собств.</w:t>
            </w:r>
          </w:p>
        </w:tc>
        <w:tc>
          <w:tcPr>
            <w:tcW w:w="14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в т.ч. РФ</w:t>
            </w:r>
          </w:p>
        </w:tc>
        <w:tc>
          <w:tcPr>
            <w:tcW w:w="12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в т.ч. ПК</w:t>
            </w:r>
          </w:p>
        </w:tc>
        <w:tc>
          <w:tcPr>
            <w:tcW w:w="130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в т.ч. Мун</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особо охраняемых территорий и объектов</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132 777,85</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13,62</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14,10</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132 750,13</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123 285,80</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9 464,33</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19 240,56</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0,43</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19 240,13</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19 240,13</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строительства объектов связи, инженерной и транспортной инфраструктуры</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317,38</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11,82</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0,98</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304,58</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270,66</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12,27</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21,65</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рекреационного назначения</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63,89</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28,55</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35,34</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Занятые водными объектами</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596,35</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596,35</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292,35</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304,00</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иного использования</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3 286 952,70</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26 369,22</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6 817,35</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3 253 765,49</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3 228 108,03</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2 498,65</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23 158,81</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7</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ведения садоводства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4 800,24</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4 335,55</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227,71</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236,67</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139,60</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97,07</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индивидуального жилищного строительства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2 414,87</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2 160,49</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161,93</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92,45</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1,70</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2,51</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88,24</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9</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ведения личного подсобного хозяйства (полевые участки)</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306 008,77</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305 405,69</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86,79</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516,29</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117,47</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0,70</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398,12</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10</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сельскохозяйственного использования</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1 694,04</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565,33</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890,47</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238,24</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87,30</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149,30</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1,64</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11</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общественно-делового и гражданского строительства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21,93</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9,49</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7,70</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4,74</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4,69</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0,05</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ведения животноводства, сенокошения и выпаса скота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1 497,50</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1 018,26</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479,24</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13</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Жилое</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0,72</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0,62</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0,10</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14</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ведения огородничества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44,10</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39,42</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0,10</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4,58</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4,58</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15</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для размещения объектов лечебно-оздоровительного, курортного назначения</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24,46</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7,63</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8,11</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8,72</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8,72</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16</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лесного фонда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3 290 940,31</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1,00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3 290 939,31</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3 290 939,31</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62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17</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16,27</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0,61</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15,47</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0,19</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0,19</w:t>
            </w:r>
          </w:p>
        </w:tc>
      </w:tr>
      <w:tr>
        <w:trPr>
          <w:trHeight w:val="420"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18</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занятые зданиями, строениями, сооружениями, используемыми  для сельскохозяйственных целей</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0,20</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0,20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19</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Общего пользования</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0,06</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0,06</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0,06</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20</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особо охраняемых природных территорий</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204 288,72</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19,16</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161 647,40</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42 622,16</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42 612,53</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1,45</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8,18</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21</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Общее имущество</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0,11</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0,11</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22</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Нелесные земли</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0,09</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0,09</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0,09</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23</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населенных пунктов</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4 407,40</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1 641,37</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287,94</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2 478,09</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297,15</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2 011,60</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169,34</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24</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жилищного строительства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4 773,47</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4 427,43</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127,96</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218,08</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44,94</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49,90</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123,24</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25</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размещения военных объектов и иные режимные территории</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1 240,50</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0,71</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14,29</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1 225,50</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1 087,29</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1,01</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137,20</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26</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строительства административных объектов</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31,40</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20,24</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5,78</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5,38</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3,02</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0,84</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1,52</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27</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размещения промышленных объектов</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3 348,39</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18,50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251,96</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3 077,93</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922,05</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1 838,57</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317,31</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28</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иных целей</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1 538,11</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5,48</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0,10</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1 532,53</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1 532,37</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0,16</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29</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природоохранного назначения</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1 200,98</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1 200,98</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1 200,98</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30</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рекреационных целей</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114,79</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15,13</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18,07</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81,59</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76,02</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0,09</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5,48</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31</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Особо охраняемые территории</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94,05</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0,48</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93,57</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27,02</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66,55</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32</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Занятые гидротехническими и иными сооружениями</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120,70</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120,70</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40,55</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80,15</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33</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ведения подсобного сельского хозяйства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1 006,48</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999,74</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2,02</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4,72</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4,72</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34</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размещения специальных объектов</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784,10</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52,22</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18,60</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713,28</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675,31</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5,86</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32,11</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35</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размещения объектов связи, радиовещания, телевидения, информатики</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855,31</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4,05</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0,50</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850,76</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850,76</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36</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сельскохозяйственного назначения</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450,23</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427,72</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9,16</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13,35</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13,04</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0,31</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37</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Лесные земли</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4 154 609,42</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4 154 609,42</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4 123 751,06</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30 858,36</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38</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Категория земель не установлена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19,81</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1,07</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18,74</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18,74</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39</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ведения личного подсобного хозяйства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0,59</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0,59</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40</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150,47</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1,61</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3,03</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145,83</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90,08</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55,63</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0,12</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41</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ведения личного подсобного хозяйства (приусадебные участки)</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15 783,48</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15 730,23</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19,96</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32,79</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0,04</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0,36</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32,39</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42</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размещения объектов обороны и безопасности</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119 279,71</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0,23</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257,37</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119 022,11</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114 833,84</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758,01</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3 430,26</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43</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строительства образовательных объектов</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24,48</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6,57</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0,50</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17,41</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0,18</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17,23</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44</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водного фонда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248,00</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248,00</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248,00</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45</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ведения сельскохозяйственного производства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1 674 218,49</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1 456 589,51</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146 075,95</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71 553,03</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6 419,67</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1 301,14</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63 832,22</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46</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промышленного строительства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232,39</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44,17</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164,87</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23,35</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3,17</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7,20</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12,98</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47</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размещения объектов энергетики</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265,87</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0,75</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135,76</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129,36</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129,02</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0,34</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48</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запаса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19,78</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19,78</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49</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гаражного строительства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30,63</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25,44</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3,10</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2,09</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0,31</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0,26</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1,52</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50</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занятые зданиями, строениями, сооружениями</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5 426,28</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103,04</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5 195,31</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127,93</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127,76</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0,17</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51</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Особо ценные лесные массивы</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240 472,07</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240 472,07</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240 472,07</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52</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создания защитных лесных насаждений</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3,96</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3,80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0,10</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0,06</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0,06</w:t>
            </w:r>
          </w:p>
        </w:tc>
      </w:tr>
      <w:tr>
        <w:trPr>
          <w:trHeight w:val="270"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53</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занятые многолетними насаждениями</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0,18</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0,18</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54</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иных сельскохозяйственных целей</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499 738,72</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299 031,93</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132 820,89</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67 885,90</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24 583,56</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3 827,57</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39 474,77</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55</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ведения дачного хозяйства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720,59</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645,24</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72,53</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2,82</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0,44</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2,38</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56</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садоводства или огородничества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445,28</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404,42</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4,40</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36,46</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36,46</w:t>
            </w:r>
          </w:p>
        </w:tc>
      </w:tr>
      <w:tr>
        <w:trPr>
          <w:trHeight w:val="255"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57</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ведения крестьянского (фермерского) хозяйства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21 546,47</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20 536,01</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721,78</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288,68</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14,00</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274,68</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58</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прочих специальных целей</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132 999,06</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155,18</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3 083,48</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129 760,40</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111 034,32</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10 083,75</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8 642,33</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59</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застройки объектами инженерной и транспортной инфраструктуры</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153,95</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0,47</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0,97</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152,51</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116,70</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35,81</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60</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размещения объектов транспорта</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9 859,16</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3,77</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27,32</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9 828,07</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6 952,44</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2 846,36</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29,27</w:t>
            </w:r>
          </w:p>
        </w:tc>
      </w:tr>
      <w:tr>
        <w:trPr>
          <w:trHeight w:val="255"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61</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размещения объектов несельскохозяйственного назначения</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108,32</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20,16</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6,36</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81,80</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12,01</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35,20</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34,59</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62</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строительства социальных, коммунально-бытовых объектов</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77,21</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19,15</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23,96</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34,10</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1,55</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21,57</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10,98</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63</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прочих целей</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408 923,76</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284,53</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80,01</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408 559,22</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296 577,32</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111 964,06</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17,84</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64</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Земли общего пользования</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109,02</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13,62</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83,25</w:t>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12,15</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4,31</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3,24</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4,60</w:t>
            </w:r>
          </w:p>
        </w:tc>
      </w:tr>
      <w:tr>
        <w:trPr>
          <w:trHeight w:val="264" w:hRule="atLeast"/>
        </w:trPr>
        <w:tc>
          <w:tcPr>
            <w:tcW w:w="85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65</w:t>
            </w:r>
          </w:p>
        </w:tc>
        <w:tc>
          <w:tcPr>
            <w:tcW w:w="366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Для научно-исследовательских, учебных целей</w:t>
            </w:r>
          </w:p>
        </w:tc>
        <w:tc>
          <w:tcPr>
            <w:tcW w:w="158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390,44</w:t>
            </w:r>
          </w:p>
        </w:tc>
        <w:tc>
          <w:tcPr>
            <w:tcW w:w="184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c>
          <w:tcPr>
            <w:tcW w:w="156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390,44</w:t>
            </w:r>
          </w:p>
        </w:tc>
        <w:tc>
          <w:tcPr>
            <w:tcW w:w="141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349,44</w:t>
            </w:r>
          </w:p>
        </w:tc>
        <w:tc>
          <w:tcPr>
            <w:tcW w:w="127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t>41,00</w:t>
            </w:r>
          </w:p>
        </w:tc>
        <w:tc>
          <w:tcPr>
            <w:tcW w:w="13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rPr>
            </w:pPr>
            <w:r>
              <w:rPr>
                <w:rFonts w:eastAsia="Times New Roman" w:cs="Times New Roman" w:ascii="Times New Roman" w:hAnsi="Times New Roman"/>
                <w:color w:val="000000"/>
                <w:sz w:val="16"/>
                <w:szCs w:val="16"/>
              </w:rPr>
            </w:r>
          </w:p>
        </w:tc>
      </w:tr>
      <w:tr>
        <w:trPr>
          <w:trHeight w:val="264" w:hRule="atLeast"/>
        </w:trPr>
        <w:tc>
          <w:tcPr>
            <w:tcW w:w="851" w:type="dxa"/>
            <w:tcBorders>
              <w:top w:val="single" w:sz="4" w:space="0" w:color="000000"/>
              <w:left w:val="single" w:sz="4" w:space="0" w:color="000000"/>
              <w:bottom w:val="single" w:sz="4" w:space="0" w:color="000000"/>
            </w:tcBorders>
            <w:shd w:color="auto" w:fill="auto" w:val="clear"/>
            <w:vAlign w:val="bottom"/>
          </w:tcPr>
          <w:p>
            <w:pPr>
              <w:pStyle w:val="Normal"/>
              <w:widowControl w:val="false"/>
              <w:spacing w:lineRule="auto" w:line="240" w:before="0" w:after="0"/>
              <w:jc w:val="center"/>
              <w:rPr>
                <w:rFonts w:ascii="Arial" w:hAnsi="Arial" w:eastAsia="Times New Roman" w:cs="Arial"/>
                <w:color w:val="000000"/>
                <w:sz w:val="20"/>
                <w:szCs w:val="20"/>
              </w:rPr>
            </w:pPr>
            <w:r>
              <w:rPr>
                <w:rFonts w:eastAsia="Times New Roman" w:cs="Arial" w:ascii="Arial" w:hAnsi="Arial"/>
                <w:color w:val="000000"/>
                <w:sz w:val="20"/>
                <w:szCs w:val="20"/>
              </w:rPr>
            </w:r>
          </w:p>
        </w:tc>
        <w:tc>
          <w:tcPr>
            <w:tcW w:w="366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Итого</w:t>
            </w:r>
          </w:p>
        </w:tc>
        <w:tc>
          <w:tcPr>
            <w:tcW w:w="1582"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14 557 524,62</w:t>
            </w:r>
          </w:p>
        </w:tc>
        <w:tc>
          <w:tcPr>
            <w:tcW w:w="1842"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2 141 241,24</w:t>
            </w:r>
          </w:p>
        </w:tc>
        <w:tc>
          <w:tcPr>
            <w:tcW w:w="1134"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459 910,55</w:t>
            </w:r>
          </w:p>
        </w:tc>
        <w:tc>
          <w:tcPr>
            <w:tcW w:w="1560"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11 956 371,38</w:t>
            </w:r>
          </w:p>
        </w:tc>
        <w:tc>
          <w:tcPr>
            <w:tcW w:w="1416"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11 637 452,27</w:t>
            </w:r>
          </w:p>
        </w:tc>
        <w:tc>
          <w:tcPr>
            <w:tcW w:w="1276"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178 109,84</w:t>
            </w:r>
          </w:p>
        </w:tc>
        <w:tc>
          <w:tcPr>
            <w:tcW w:w="1307"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b/>
                <w:b/>
                <w:bCs/>
                <w:color w:val="000000"/>
                <w:sz w:val="16"/>
                <w:szCs w:val="16"/>
              </w:rPr>
            </w:pPr>
            <w:r>
              <w:rPr>
                <w:rFonts w:eastAsia="Times New Roman" w:cs="Times New Roman" w:ascii="Times New Roman" w:hAnsi="Times New Roman"/>
                <w:b/>
                <w:bCs/>
                <w:color w:val="000000"/>
                <w:sz w:val="16"/>
                <w:szCs w:val="16"/>
              </w:rPr>
              <w:t>140 809,27</w:t>
            </w:r>
          </w:p>
        </w:tc>
      </w:tr>
    </w:tbl>
    <w:p>
      <w:pPr>
        <w:pStyle w:val="Normal"/>
        <w:spacing w:lineRule="auto" w:line="240" w:before="0" w:after="0"/>
        <w:ind w:firstLine="540"/>
        <w:jc w:val="both"/>
        <w:rPr>
          <w:rFonts w:ascii="Times New Roman" w:hAnsi="Times New Roman" w:cs="Times New Roman"/>
          <w:sz w:val="18"/>
          <w:szCs w:val="18"/>
        </w:rPr>
      </w:pPr>
      <w:r>
        <w:rPr>
          <w:rFonts w:cs="Times New Roman" w:ascii="Times New Roman" w:hAnsi="Times New Roman"/>
          <w:sz w:val="18"/>
          <w:szCs w:val="18"/>
        </w:rPr>
        <w:t>-------------------------------</w:t>
      </w:r>
    </w:p>
    <w:p>
      <w:pPr>
        <w:pStyle w:val="Normal"/>
        <w:spacing w:lineRule="auto" w:line="240" w:before="0" w:after="0"/>
        <w:ind w:firstLine="540"/>
        <w:jc w:val="both"/>
        <w:rPr>
          <w:rFonts w:ascii="Times New Roman" w:hAnsi="Times New Roman" w:cs="Times New Roman"/>
          <w:sz w:val="18"/>
          <w:szCs w:val="18"/>
        </w:rPr>
      </w:pPr>
      <w:r>
        <w:rPr>
          <w:rFonts w:cs="Times New Roman" w:ascii="Times New Roman" w:hAnsi="Times New Roman"/>
          <w:sz w:val="18"/>
          <w:szCs w:val="18"/>
        </w:rPr>
        <w:t xml:space="preserve">&lt;*&gt; Заполняется по данным ЕГРП согласно классификатору, утвержденному </w:t>
      </w:r>
      <w:hyperlink r:id="rId136">
        <w:r>
          <w:rPr>
            <w:rFonts w:cs="Times New Roman" w:ascii="Times New Roman" w:hAnsi="Times New Roman"/>
            <w:sz w:val="18"/>
            <w:szCs w:val="18"/>
          </w:rPr>
          <w:t>приказом</w:t>
        </w:r>
      </w:hyperlink>
      <w:r>
        <w:rPr>
          <w:rFonts w:cs="Times New Roman" w:ascii="Times New Roman" w:hAnsi="Times New Roman"/>
          <w:sz w:val="18"/>
          <w:szCs w:val="18"/>
        </w:rPr>
        <w:t xml:space="preserve"> Росреестра от 12.10.2011 N 389.</w:t>
      </w:r>
    </w:p>
    <w:p>
      <w:pPr>
        <w:sectPr>
          <w:headerReference w:type="default" r:id="rId137"/>
          <w:footerReference w:type="default" r:id="rId138"/>
          <w:type w:val="nextPage"/>
          <w:pgSz w:orient="landscape" w:w="16838" w:h="11906"/>
          <w:pgMar w:left="1134" w:right="1134" w:gutter="0" w:header="709" w:top="851" w:footer="709" w:bottom="851"/>
          <w:pgNumType w:fmt="decimal"/>
          <w:formProt w:val="false"/>
          <w:textDirection w:val="lrTb"/>
          <w:docGrid w:type="default" w:linePitch="299" w:charSpace="4096"/>
        </w:sectPr>
        <w:pStyle w:val="Normal"/>
        <w:rPr/>
      </w:pPr>
      <w:r>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t>Приложение № 12</w:t>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Мониторинг использования земель</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bCs/>
          <w:sz w:val="24"/>
          <w:szCs w:val="24"/>
        </w:rPr>
        <w:t>Распределение застроенных земель по категориям земель</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Площадь в га</w:t>
      </w:r>
    </w:p>
    <w:tbl>
      <w:tblPr>
        <w:tblStyle w:val="a5"/>
        <w:tblW w:w="1042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75"/>
        <w:gridCol w:w="3544"/>
        <w:gridCol w:w="1843"/>
        <w:gridCol w:w="1559"/>
        <w:gridCol w:w="1418"/>
        <w:gridCol w:w="1380"/>
      </w:tblGrid>
      <w:tr>
        <w:trPr>
          <w:trHeight w:val="690" w:hRule="atLeast"/>
        </w:trPr>
        <w:tc>
          <w:tcPr>
            <w:tcW w:w="675" w:type="dxa"/>
            <w:vMerge w:val="restart"/>
            <w:tcBorders/>
          </w:tcPr>
          <w:p>
            <w:pPr>
              <w:pStyle w:val="Normal"/>
              <w:widowControl/>
              <w:spacing w:lineRule="auto" w:line="240" w:before="0" w:after="0"/>
              <w:contextualSpacing/>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 xml:space="preserve">№ </w:t>
            </w:r>
            <w:r>
              <w:rPr>
                <w:rFonts w:eastAsia="" w:cs="Times New Roman" w:ascii="Times New Roman" w:hAnsi="Times New Roman"/>
                <w:bCs/>
                <w:kern w:val="0"/>
                <w:sz w:val="24"/>
                <w:szCs w:val="24"/>
                <w:lang w:val="ru-RU" w:eastAsia="en-US" w:bidi="en-US"/>
              </w:rPr>
              <w:t>п/п</w:t>
            </w:r>
          </w:p>
        </w:tc>
        <w:tc>
          <w:tcPr>
            <w:tcW w:w="3544" w:type="dxa"/>
            <w:vMerge w:val="restart"/>
            <w:tcBorders/>
          </w:tcPr>
          <w:p>
            <w:pPr>
              <w:pStyle w:val="Normal"/>
              <w:widowControl/>
              <w:spacing w:lineRule="auto" w:line="240" w:before="0" w:after="0"/>
              <w:contextualSpacing/>
              <w:jc w:val="center"/>
              <w:rPr>
                <w:rFonts w:ascii="Times New Roman" w:hAnsi="Times New Roman" w:cs="Times New Roman"/>
                <w:bCs/>
                <w:sz w:val="24"/>
                <w:szCs w:val="24"/>
              </w:rPr>
            </w:pPr>
            <w:r>
              <w:rPr>
                <w:rFonts w:eastAsia="" w:cs="Times New Roman" w:ascii="Times New Roman" w:hAnsi="Times New Roman"/>
                <w:kern w:val="0"/>
                <w:sz w:val="24"/>
                <w:szCs w:val="24"/>
                <w:lang w:val="en-US" w:eastAsia="en-US" w:bidi="en-US"/>
              </w:rPr>
              <w:t>Категории земель</w:t>
            </w:r>
          </w:p>
        </w:tc>
        <w:tc>
          <w:tcPr>
            <w:tcW w:w="3402" w:type="dxa"/>
            <w:gridSpan w:val="2"/>
            <w:tcBorders/>
          </w:tcPr>
          <w:p>
            <w:pPr>
              <w:pStyle w:val="Normal"/>
              <w:widowControl/>
              <w:spacing w:lineRule="auto" w:line="240" w:before="0" w:after="0"/>
              <w:contextualSpacing/>
              <w:jc w:val="center"/>
              <w:rPr>
                <w:rFonts w:ascii="Times New Roman" w:hAnsi="Times New Roman" w:cs="Times New Roman"/>
                <w:bCs/>
                <w:sz w:val="24"/>
                <w:szCs w:val="24"/>
              </w:rPr>
            </w:pPr>
            <w:r>
              <w:rPr>
                <w:rFonts w:eastAsia=""/>
                <w:kern w:val="0"/>
                <w:sz w:val="22"/>
                <w:szCs w:val="22"/>
                <w:lang w:val="en-US" w:eastAsia="en-US" w:bidi="en-US"/>
              </w:rPr>
              <w:t>Земли застройки</w:t>
            </w:r>
          </w:p>
        </w:tc>
        <w:tc>
          <w:tcPr>
            <w:tcW w:w="1418" w:type="dxa"/>
            <w:vMerge w:val="restart"/>
            <w:tcBorders/>
          </w:tcPr>
          <w:p>
            <w:pPr>
              <w:pStyle w:val="Normal"/>
              <w:widowControl/>
              <w:spacing w:lineRule="auto" w:line="240" w:before="0" w:after="0"/>
              <w:contextualSpacing/>
              <w:jc w:val="center"/>
              <w:rPr>
                <w:rFonts w:ascii="Times New Roman" w:hAnsi="Times New Roman" w:cs="Times New Roman"/>
                <w:bCs/>
                <w:sz w:val="24"/>
                <w:szCs w:val="24"/>
              </w:rPr>
            </w:pPr>
            <w:r>
              <w:rPr>
                <w:rFonts w:eastAsia=""/>
                <w:kern w:val="0"/>
                <w:sz w:val="22"/>
                <w:szCs w:val="22"/>
                <w:lang w:val="en-US" w:eastAsia="en-US" w:bidi="en-US"/>
              </w:rPr>
              <w:t xml:space="preserve">Земли жилой застройки </w:t>
            </w:r>
            <w:hyperlink w:anchor="P577">
              <w:r>
                <w:rPr>
                  <w:rFonts w:eastAsia=""/>
                  <w:color w:val="auto"/>
                  <w:kern w:val="0"/>
                  <w:sz w:val="22"/>
                  <w:szCs w:val="22"/>
                  <w:lang w:val="en-US" w:eastAsia="en-US" w:bidi="en-US"/>
                </w:rPr>
                <w:t>&lt;**&gt;</w:t>
              </w:r>
            </w:hyperlink>
          </w:p>
        </w:tc>
        <w:tc>
          <w:tcPr>
            <w:tcW w:w="1380" w:type="dxa"/>
            <w:vMerge w:val="restart"/>
            <w:tcBorders/>
          </w:tcPr>
          <w:p>
            <w:pPr>
              <w:pStyle w:val="Normal"/>
              <w:widowControl/>
              <w:spacing w:lineRule="auto" w:line="240" w:before="0" w:after="0"/>
              <w:contextualSpacing/>
              <w:jc w:val="center"/>
              <w:rPr>
                <w:rFonts w:ascii="Times New Roman" w:hAnsi="Times New Roman" w:cs="Times New Roman"/>
                <w:bCs/>
                <w:sz w:val="24"/>
                <w:szCs w:val="24"/>
              </w:rPr>
            </w:pPr>
            <w:r>
              <w:rPr>
                <w:rFonts w:eastAsia="" w:cs="Times New Roman" w:ascii="Times New Roman" w:hAnsi="Times New Roman"/>
                <w:kern w:val="0"/>
                <w:sz w:val="24"/>
                <w:szCs w:val="24"/>
                <w:lang w:val="en-US" w:eastAsia="en-US" w:bidi="en-US"/>
              </w:rPr>
              <w:t xml:space="preserve">Земли общественно-деловой застройки </w:t>
            </w:r>
            <w:hyperlink r:id="rId139">
              <w:r>
                <w:rPr>
                  <w:rFonts w:eastAsia="" w:cs="Times New Roman" w:ascii="Times New Roman" w:hAnsi="Times New Roman"/>
                  <w:kern w:val="0"/>
                  <w:sz w:val="24"/>
                  <w:szCs w:val="24"/>
                  <w:lang w:val="en-US" w:eastAsia="en-US" w:bidi="en-US"/>
                </w:rPr>
                <w:t>&lt;**&gt;</w:t>
              </w:r>
            </w:hyperlink>
          </w:p>
        </w:tc>
      </w:tr>
      <w:tr>
        <w:trPr>
          <w:trHeight w:val="690" w:hRule="atLeast"/>
        </w:trPr>
        <w:tc>
          <w:tcPr>
            <w:tcW w:w="675" w:type="dxa"/>
            <w:vMerge w:val="continue"/>
            <w:tcBorders/>
          </w:tcPr>
          <w:p>
            <w:pPr>
              <w:pStyle w:val="Normal"/>
              <w:widowControl/>
              <w:spacing w:lineRule="auto" w:line="240" w:before="0" w:after="0"/>
              <w:contextualSpacing/>
              <w:jc w:val="center"/>
              <w:rPr>
                <w:rFonts w:ascii="Times New Roman" w:hAnsi="Times New Roman" w:cs="Times New Roman"/>
                <w:bCs/>
                <w:sz w:val="24"/>
                <w:szCs w:val="24"/>
              </w:rPr>
            </w:pPr>
            <w:r>
              <w:rPr>
                <w:rFonts w:eastAsia="" w:cs="Times New Roman" w:ascii="Times New Roman" w:hAnsi="Times New Roman"/>
                <w:bCs/>
                <w:kern w:val="0"/>
                <w:sz w:val="22"/>
                <w:szCs w:val="22"/>
                <w:lang w:val="en-US" w:eastAsia="en-US" w:bidi="en-US"/>
              </w:rPr>
            </w:r>
          </w:p>
        </w:tc>
        <w:tc>
          <w:tcPr>
            <w:tcW w:w="3544" w:type="dxa"/>
            <w:vMerge w:val="continue"/>
            <w:tcBorders/>
          </w:tcPr>
          <w:p>
            <w:pPr>
              <w:pStyle w:val="Normal"/>
              <w:widowControl/>
              <w:spacing w:lineRule="auto" w:line="240" w:before="0" w:after="0"/>
              <w:contextualSpacing/>
              <w:jc w:val="center"/>
              <w:rPr>
                <w:rFonts w:ascii="Times New Roman" w:hAnsi="Times New Roman" w:cs="Times New Roman"/>
                <w:sz w:val="24"/>
                <w:szCs w:val="24"/>
              </w:rPr>
            </w:pPr>
            <w:r>
              <w:rPr>
                <w:rFonts w:eastAsia="" w:cs="Times New Roman" w:ascii="Times New Roman" w:hAnsi="Times New Roman"/>
                <w:kern w:val="0"/>
                <w:sz w:val="22"/>
                <w:szCs w:val="22"/>
                <w:lang w:val="en-US" w:eastAsia="en-US" w:bidi="en-US"/>
              </w:rPr>
            </w:r>
          </w:p>
        </w:tc>
        <w:tc>
          <w:tcPr>
            <w:tcW w:w="1843" w:type="dxa"/>
            <w:tcBorders/>
          </w:tcPr>
          <w:p>
            <w:pPr>
              <w:pStyle w:val="Normal"/>
              <w:widowControl/>
              <w:spacing w:lineRule="auto" w:line="240" w:before="0" w:after="0"/>
              <w:contextualSpacing/>
              <w:jc w:val="center"/>
              <w:rPr>
                <w:rFonts w:ascii="Times New Roman" w:hAnsi="Times New Roman" w:cs="Times New Roman"/>
                <w:bCs/>
                <w:sz w:val="24"/>
                <w:szCs w:val="24"/>
              </w:rPr>
            </w:pPr>
            <w:r>
              <w:rPr>
                <w:rFonts w:eastAsia=""/>
                <w:kern w:val="0"/>
                <w:sz w:val="22"/>
                <w:szCs w:val="22"/>
                <w:lang w:val="en-US" w:eastAsia="en-US" w:bidi="en-US"/>
              </w:rPr>
              <w:t xml:space="preserve">Всего площадь </w:t>
            </w:r>
            <w:hyperlink w:anchor="P576">
              <w:r>
                <w:rPr>
                  <w:rFonts w:eastAsia=""/>
                  <w:color w:val="auto"/>
                  <w:kern w:val="0"/>
                  <w:sz w:val="22"/>
                  <w:szCs w:val="22"/>
                  <w:lang w:val="en-US" w:eastAsia="en-US" w:bidi="en-US"/>
                </w:rPr>
                <w:t>&lt;*&gt;</w:t>
              </w:r>
            </w:hyperlink>
          </w:p>
        </w:tc>
        <w:tc>
          <w:tcPr>
            <w:tcW w:w="1559" w:type="dxa"/>
            <w:tcBorders/>
          </w:tcPr>
          <w:p>
            <w:pPr>
              <w:pStyle w:val="Normal"/>
              <w:widowControl/>
              <w:spacing w:lineRule="auto" w:line="240" w:before="0" w:after="0"/>
              <w:contextualSpacing/>
              <w:jc w:val="center"/>
              <w:rPr>
                <w:rFonts w:ascii="Times New Roman" w:hAnsi="Times New Roman" w:cs="Times New Roman"/>
                <w:bCs/>
                <w:sz w:val="24"/>
                <w:szCs w:val="24"/>
                <w:lang w:val="ru-RU"/>
              </w:rPr>
            </w:pPr>
            <w:r>
              <w:rPr>
                <w:rFonts w:eastAsia=""/>
                <w:kern w:val="0"/>
                <w:sz w:val="22"/>
                <w:szCs w:val="22"/>
                <w:lang w:val="en-US" w:eastAsia="en-US" w:bidi="en-US"/>
              </w:rPr>
              <w:t xml:space="preserve">в т.ч. занятые промышленными сооружениями </w:t>
            </w:r>
            <w:hyperlink w:anchor="P576">
              <w:r>
                <w:rPr>
                  <w:rFonts w:eastAsia=""/>
                  <w:color w:val="auto"/>
                  <w:kern w:val="0"/>
                  <w:sz w:val="22"/>
                  <w:szCs w:val="22"/>
                  <w:lang w:val="en-US" w:eastAsia="en-US" w:bidi="en-US"/>
                </w:rPr>
                <w:t>&lt;*&gt;</w:t>
              </w:r>
            </w:hyperlink>
          </w:p>
        </w:tc>
        <w:tc>
          <w:tcPr>
            <w:tcW w:w="1418" w:type="dxa"/>
            <w:vMerge w:val="continue"/>
            <w:tcBorders/>
          </w:tcPr>
          <w:p>
            <w:pPr>
              <w:pStyle w:val="Normal"/>
              <w:widowControl/>
              <w:spacing w:lineRule="auto" w:line="240" w:before="0" w:after="0"/>
              <w:contextualSpacing/>
              <w:jc w:val="center"/>
              <w:rPr>
                <w:lang w:val="ru-RU"/>
              </w:rPr>
            </w:pPr>
            <w:r>
              <w:rPr>
                <w:rFonts w:eastAsia="" w:cs="" w:ascii="Cambria" w:hAnsi="Cambria"/>
                <w:kern w:val="0"/>
                <w:sz w:val="22"/>
                <w:szCs w:val="22"/>
                <w:lang w:val="en-US" w:eastAsia="en-US" w:bidi="en-US"/>
              </w:rPr>
            </w:r>
          </w:p>
        </w:tc>
        <w:tc>
          <w:tcPr>
            <w:tcW w:w="1380" w:type="dxa"/>
            <w:vMerge w:val="continue"/>
            <w:tcBorders/>
          </w:tcPr>
          <w:p>
            <w:pPr>
              <w:pStyle w:val="Normal"/>
              <w:widowControl/>
              <w:spacing w:lineRule="auto" w:line="240" w:before="0" w:after="0"/>
              <w:contextualSpacing/>
              <w:jc w:val="center"/>
              <w:rPr>
                <w:rFonts w:ascii="Times New Roman" w:hAnsi="Times New Roman" w:cs="Times New Roman"/>
                <w:sz w:val="24"/>
                <w:szCs w:val="24"/>
                <w:lang w:val="ru-RU"/>
              </w:rPr>
            </w:pPr>
            <w:r>
              <w:rPr>
                <w:rFonts w:eastAsia="" w:cs="Times New Roman" w:ascii="Times New Roman" w:hAnsi="Times New Roman"/>
                <w:kern w:val="0"/>
                <w:sz w:val="22"/>
                <w:szCs w:val="22"/>
                <w:lang w:val="en-US" w:eastAsia="en-US" w:bidi="en-US"/>
              </w:rPr>
            </w:r>
          </w:p>
        </w:tc>
      </w:tr>
      <w:tr>
        <w:trPr/>
        <w:tc>
          <w:tcPr>
            <w:tcW w:w="675" w:type="dxa"/>
            <w:tcBorders/>
          </w:tcPr>
          <w:p>
            <w:pPr>
              <w:pStyle w:val="Normal"/>
              <w:widowControl/>
              <w:spacing w:lineRule="auto" w:line="240" w:before="0" w:after="0"/>
              <w:contextualSpacing/>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w:t>
            </w:r>
          </w:p>
        </w:tc>
        <w:tc>
          <w:tcPr>
            <w:tcW w:w="3544" w:type="dxa"/>
            <w:tcBorders/>
          </w:tcPr>
          <w:p>
            <w:pPr>
              <w:pStyle w:val="Normal"/>
              <w:widowControl/>
              <w:spacing w:lineRule="auto" w:line="240" w:before="0" w:after="0"/>
              <w:contextualSpacing/>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w:t>
            </w:r>
          </w:p>
        </w:tc>
        <w:tc>
          <w:tcPr>
            <w:tcW w:w="1843" w:type="dxa"/>
            <w:tcBorders/>
          </w:tcPr>
          <w:p>
            <w:pPr>
              <w:pStyle w:val="Normal"/>
              <w:widowControl/>
              <w:spacing w:lineRule="auto" w:line="240" w:before="0" w:after="0"/>
              <w:contextualSpacing/>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w:t>
            </w:r>
          </w:p>
        </w:tc>
        <w:tc>
          <w:tcPr>
            <w:tcW w:w="1559" w:type="dxa"/>
            <w:tcBorders/>
          </w:tcPr>
          <w:p>
            <w:pPr>
              <w:pStyle w:val="Normal"/>
              <w:widowControl/>
              <w:spacing w:lineRule="auto" w:line="240" w:before="0" w:after="0"/>
              <w:contextualSpacing/>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w:t>
            </w:r>
          </w:p>
        </w:tc>
        <w:tc>
          <w:tcPr>
            <w:tcW w:w="1418" w:type="dxa"/>
            <w:tcBorders/>
          </w:tcPr>
          <w:p>
            <w:pPr>
              <w:pStyle w:val="Normal"/>
              <w:widowControl/>
              <w:spacing w:lineRule="auto" w:line="240" w:before="0" w:after="0"/>
              <w:contextualSpacing/>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5</w:t>
            </w:r>
          </w:p>
        </w:tc>
        <w:tc>
          <w:tcPr>
            <w:tcW w:w="1380" w:type="dxa"/>
            <w:tcBorders/>
          </w:tcPr>
          <w:p>
            <w:pPr>
              <w:pStyle w:val="Normal"/>
              <w:widowControl/>
              <w:spacing w:lineRule="auto" w:line="240" w:before="0" w:after="0"/>
              <w:contextualSpacing/>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6</w:t>
            </w:r>
          </w:p>
        </w:tc>
      </w:tr>
      <w:tr>
        <w:trPr/>
        <w:tc>
          <w:tcPr>
            <w:tcW w:w="675"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w:t>
            </w:r>
          </w:p>
        </w:tc>
        <w:tc>
          <w:tcPr>
            <w:tcW w:w="3544"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kern w:val="0"/>
                <w:sz w:val="22"/>
                <w:szCs w:val="22"/>
                <w:lang w:val="en-US" w:eastAsia="en-US" w:bidi="en-US"/>
              </w:rPr>
              <w:t>Земли сельскохозяйственного назначения</w:t>
            </w:r>
          </w:p>
        </w:tc>
        <w:tc>
          <w:tcPr>
            <w:tcW w:w="1843"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4500</w:t>
            </w:r>
          </w:p>
        </w:tc>
        <w:tc>
          <w:tcPr>
            <w:tcW w:w="1559"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418"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Х</w:t>
            </w:r>
          </w:p>
        </w:tc>
        <w:tc>
          <w:tcPr>
            <w:tcW w:w="1380"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Х</w:t>
            </w:r>
          </w:p>
        </w:tc>
      </w:tr>
      <w:tr>
        <w:trPr/>
        <w:tc>
          <w:tcPr>
            <w:tcW w:w="675"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w:t>
            </w:r>
          </w:p>
        </w:tc>
        <w:tc>
          <w:tcPr>
            <w:tcW w:w="3544"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kern w:val="0"/>
                <w:sz w:val="22"/>
                <w:szCs w:val="22"/>
                <w:lang w:val="en-US" w:eastAsia="en-US" w:bidi="en-US"/>
              </w:rPr>
              <w:t>Земли населенных пунктов</w:t>
            </w:r>
          </w:p>
        </w:tc>
        <w:tc>
          <w:tcPr>
            <w:tcW w:w="1843"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76400</w:t>
            </w:r>
          </w:p>
        </w:tc>
        <w:tc>
          <w:tcPr>
            <w:tcW w:w="1559"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6700</w:t>
            </w:r>
          </w:p>
        </w:tc>
        <w:tc>
          <w:tcPr>
            <w:tcW w:w="1418"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35100</w:t>
            </w:r>
          </w:p>
        </w:tc>
        <w:tc>
          <w:tcPr>
            <w:tcW w:w="1380"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24800</w:t>
            </w:r>
          </w:p>
        </w:tc>
      </w:tr>
      <w:tr>
        <w:trPr/>
        <w:tc>
          <w:tcPr>
            <w:tcW w:w="675"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w:t>
            </w:r>
          </w:p>
        </w:tc>
        <w:tc>
          <w:tcPr>
            <w:tcW w:w="3544"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kern w:val="0"/>
                <w:sz w:val="22"/>
                <w:szCs w:val="22"/>
                <w:lang w:val="ru-RU" w:eastAsia="en-US" w:bidi="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43"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21700</w:t>
            </w:r>
          </w:p>
        </w:tc>
        <w:tc>
          <w:tcPr>
            <w:tcW w:w="1559"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3700</w:t>
            </w:r>
          </w:p>
        </w:tc>
        <w:tc>
          <w:tcPr>
            <w:tcW w:w="1418"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Х</w:t>
            </w:r>
          </w:p>
        </w:tc>
        <w:tc>
          <w:tcPr>
            <w:tcW w:w="1380"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Х</w:t>
            </w:r>
          </w:p>
        </w:tc>
      </w:tr>
      <w:tr>
        <w:trPr/>
        <w:tc>
          <w:tcPr>
            <w:tcW w:w="675"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w:t>
            </w:r>
          </w:p>
        </w:tc>
        <w:tc>
          <w:tcPr>
            <w:tcW w:w="3544"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kern w:val="0"/>
                <w:sz w:val="22"/>
                <w:szCs w:val="22"/>
                <w:lang w:val="ru-RU" w:eastAsia="en-US" w:bidi="en-US"/>
              </w:rPr>
              <w:t>Земли особо охраняемых территорий и объектов</w:t>
            </w:r>
          </w:p>
        </w:tc>
        <w:tc>
          <w:tcPr>
            <w:tcW w:w="1843"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200</w:t>
            </w:r>
          </w:p>
        </w:tc>
        <w:tc>
          <w:tcPr>
            <w:tcW w:w="1559"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418"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380"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r>
      <w:tr>
        <w:trPr/>
        <w:tc>
          <w:tcPr>
            <w:tcW w:w="675"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5</w:t>
            </w:r>
          </w:p>
        </w:tc>
        <w:tc>
          <w:tcPr>
            <w:tcW w:w="3544"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kern w:val="0"/>
                <w:sz w:val="22"/>
                <w:szCs w:val="22"/>
                <w:lang w:val="en-US" w:eastAsia="en-US" w:bidi="en-US"/>
              </w:rPr>
              <w:t>Земли лесного фонда</w:t>
            </w:r>
          </w:p>
        </w:tc>
        <w:tc>
          <w:tcPr>
            <w:tcW w:w="1843"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5200</w:t>
            </w:r>
          </w:p>
        </w:tc>
        <w:tc>
          <w:tcPr>
            <w:tcW w:w="1559"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200</w:t>
            </w:r>
          </w:p>
        </w:tc>
        <w:tc>
          <w:tcPr>
            <w:tcW w:w="1418"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Х</w:t>
            </w:r>
          </w:p>
        </w:tc>
        <w:tc>
          <w:tcPr>
            <w:tcW w:w="1380"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Х</w:t>
            </w:r>
          </w:p>
        </w:tc>
      </w:tr>
      <w:tr>
        <w:trPr/>
        <w:tc>
          <w:tcPr>
            <w:tcW w:w="675"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6</w:t>
            </w:r>
          </w:p>
        </w:tc>
        <w:tc>
          <w:tcPr>
            <w:tcW w:w="3544"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kern w:val="0"/>
                <w:sz w:val="22"/>
                <w:szCs w:val="22"/>
                <w:lang w:val="en-US" w:eastAsia="en-US" w:bidi="en-US"/>
              </w:rPr>
              <w:t>Земли водного фонда</w:t>
            </w:r>
          </w:p>
        </w:tc>
        <w:tc>
          <w:tcPr>
            <w:tcW w:w="1843"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100</w:t>
            </w:r>
          </w:p>
        </w:tc>
        <w:tc>
          <w:tcPr>
            <w:tcW w:w="1559"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100</w:t>
            </w:r>
          </w:p>
        </w:tc>
        <w:tc>
          <w:tcPr>
            <w:tcW w:w="1418"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Х</w:t>
            </w:r>
          </w:p>
        </w:tc>
        <w:tc>
          <w:tcPr>
            <w:tcW w:w="1380"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Х</w:t>
            </w:r>
          </w:p>
        </w:tc>
      </w:tr>
      <w:tr>
        <w:trPr/>
        <w:tc>
          <w:tcPr>
            <w:tcW w:w="675"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7</w:t>
            </w:r>
          </w:p>
        </w:tc>
        <w:tc>
          <w:tcPr>
            <w:tcW w:w="3544"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kern w:val="0"/>
                <w:sz w:val="22"/>
                <w:szCs w:val="22"/>
                <w:lang w:val="en-US" w:eastAsia="en-US" w:bidi="en-US"/>
              </w:rPr>
              <w:t>Земли запаса</w:t>
            </w:r>
          </w:p>
        </w:tc>
        <w:tc>
          <w:tcPr>
            <w:tcW w:w="1843"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2000</w:t>
            </w:r>
          </w:p>
        </w:tc>
        <w:tc>
          <w:tcPr>
            <w:tcW w:w="1559"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418"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Х</w:t>
            </w:r>
          </w:p>
        </w:tc>
        <w:tc>
          <w:tcPr>
            <w:tcW w:w="1380"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Х</w:t>
            </w:r>
          </w:p>
        </w:tc>
      </w:tr>
      <w:tr>
        <w:trPr/>
        <w:tc>
          <w:tcPr>
            <w:tcW w:w="675"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3544"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kern w:val="0"/>
                <w:sz w:val="22"/>
                <w:szCs w:val="22"/>
                <w:lang w:val="en-US" w:eastAsia="en-US" w:bidi="en-US"/>
              </w:rPr>
              <w:t>Итого земель:</w:t>
            </w:r>
          </w:p>
        </w:tc>
        <w:tc>
          <w:tcPr>
            <w:tcW w:w="1843"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110100</w:t>
            </w:r>
          </w:p>
        </w:tc>
        <w:tc>
          <w:tcPr>
            <w:tcW w:w="1559"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10700</w:t>
            </w:r>
          </w:p>
        </w:tc>
        <w:tc>
          <w:tcPr>
            <w:tcW w:w="1418"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34100</w:t>
            </w:r>
          </w:p>
        </w:tc>
        <w:tc>
          <w:tcPr>
            <w:tcW w:w="1380"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24800</w:t>
            </w:r>
          </w:p>
        </w:tc>
      </w:tr>
    </w:tbl>
    <w:p>
      <w:pPr>
        <w:pStyle w:val="ConsPlusNormal"/>
        <w:ind w:firstLine="540"/>
        <w:jc w:val="both"/>
        <w:rPr/>
      </w:pPr>
      <w:r>
        <w:rPr/>
        <w:t>--------------------------------</w:t>
      </w:r>
    </w:p>
    <w:p>
      <w:pPr>
        <w:pStyle w:val="ConsPlusNormal"/>
        <w:ind w:firstLine="540"/>
        <w:jc w:val="both"/>
        <w:rPr>
          <w:sz w:val="24"/>
          <w:szCs w:val="24"/>
        </w:rPr>
      </w:pPr>
      <w:bookmarkStart w:id="574" w:name="P576"/>
      <w:bookmarkEnd w:id="574"/>
      <w:r>
        <w:rPr>
          <w:sz w:val="24"/>
          <w:szCs w:val="24"/>
        </w:rPr>
        <w:t xml:space="preserve">&lt;*&gt; Заполняется согласно </w:t>
      </w:r>
      <w:hyperlink r:id="rId140">
        <w:r>
          <w:rPr>
            <w:color w:val="auto"/>
            <w:sz w:val="24"/>
            <w:szCs w:val="24"/>
            <w:u w:val="none"/>
          </w:rPr>
          <w:t>форме</w:t>
        </w:r>
      </w:hyperlink>
      <w:r>
        <w:rPr>
          <w:sz w:val="24"/>
          <w:szCs w:val="24"/>
        </w:rPr>
        <w:t xml:space="preserve"> федеральной статистической отчетности N 22-2.</w:t>
      </w:r>
    </w:p>
    <w:p>
      <w:pPr>
        <w:pStyle w:val="ConsPlusNormal"/>
        <w:ind w:firstLine="540"/>
        <w:jc w:val="both"/>
        <w:rPr>
          <w:sz w:val="24"/>
          <w:szCs w:val="24"/>
        </w:rPr>
      </w:pPr>
      <w:bookmarkStart w:id="575" w:name="P577"/>
      <w:bookmarkEnd w:id="575"/>
      <w:r>
        <w:rPr>
          <w:sz w:val="24"/>
          <w:szCs w:val="24"/>
        </w:rPr>
        <w:t xml:space="preserve">&lt;**&gt; Заполняется согласно формам федеральной статистической отчетности </w:t>
      </w:r>
      <w:hyperlink r:id="rId141">
        <w:r>
          <w:rPr>
            <w:color w:val="auto"/>
            <w:sz w:val="24"/>
            <w:szCs w:val="24"/>
            <w:u w:val="none"/>
          </w:rPr>
          <w:t>N 22-5</w:t>
        </w:r>
      </w:hyperlink>
      <w:r>
        <w:rPr>
          <w:sz w:val="24"/>
          <w:szCs w:val="24"/>
        </w:rPr>
        <w:t xml:space="preserve"> и </w:t>
      </w:r>
      <w:hyperlink r:id="rId142">
        <w:r>
          <w:rPr>
            <w:color w:val="auto"/>
            <w:sz w:val="24"/>
            <w:szCs w:val="24"/>
            <w:u w:val="none"/>
          </w:rPr>
          <w:t>22-6</w:t>
        </w:r>
      </w:hyperlink>
      <w:r>
        <w:rPr>
          <w:sz w:val="24"/>
          <w:szCs w:val="24"/>
        </w:rPr>
        <w:t>.</w:t>
      </w:r>
    </w:p>
    <w:p>
      <w:pPr>
        <w:pStyle w:val="Normal"/>
        <w:spacing w:lineRule="auto" w:line="240" w:before="0" w:after="0"/>
        <w:contextualSpacing/>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t>Приложение № 13</w:t>
      </w:r>
    </w:p>
    <w:p>
      <w:pPr>
        <w:pStyle w:val="Normal"/>
        <w:spacing w:lineRule="auto" w:line="240" w:before="0" w:after="0"/>
        <w:contextualSpacing/>
        <w:jc w:val="both"/>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both"/>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center"/>
        <w:rPr>
          <w:rFonts w:ascii="Times New Roman" w:hAnsi="Times New Roman" w:cs="Times New Roman"/>
          <w:b/>
          <w:b/>
          <w:bCs/>
          <w:sz w:val="24"/>
          <w:szCs w:val="24"/>
        </w:rPr>
      </w:pPr>
      <w:r>
        <w:rPr>
          <w:rFonts w:cs="Times New Roman" w:ascii="Times New Roman" w:hAnsi="Times New Roman"/>
          <w:b/>
          <w:bCs/>
          <w:sz w:val="24"/>
          <w:szCs w:val="24"/>
        </w:rPr>
        <w:t>Мониторинг использования земель</w:t>
      </w:r>
    </w:p>
    <w:p>
      <w:pPr>
        <w:pStyle w:val="Normal"/>
        <w:spacing w:lineRule="auto" w:line="240" w:before="0" w:after="0"/>
        <w:contextualSpacing/>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contextualSpacing/>
        <w:jc w:val="center"/>
        <w:rPr>
          <w:rFonts w:ascii="Times New Roman" w:hAnsi="Times New Roman" w:cs="Times New Roman"/>
          <w:b/>
          <w:b/>
          <w:bCs/>
          <w:sz w:val="24"/>
          <w:szCs w:val="24"/>
        </w:rPr>
      </w:pPr>
      <w:r>
        <w:rPr>
          <w:rFonts w:cs="Times New Roman" w:ascii="Times New Roman" w:hAnsi="Times New Roman"/>
          <w:b/>
          <w:bCs/>
          <w:sz w:val="24"/>
          <w:szCs w:val="24"/>
        </w:rPr>
        <w:t>Площади внесенных в государственный кадастр недвижимости земель лесного фонда по видам использования лесов*</w:t>
      </w:r>
    </w:p>
    <w:p>
      <w:pPr>
        <w:pStyle w:val="Normal"/>
        <w:spacing w:lineRule="auto" w:line="240" w:before="0" w:after="0"/>
        <w:contextualSpacing/>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contextualSpacing/>
        <w:jc w:val="right"/>
        <w:rPr>
          <w:rFonts w:ascii="Times New Roman" w:hAnsi="Times New Roman" w:cs="Times New Roman"/>
          <w:bCs/>
          <w:sz w:val="24"/>
          <w:szCs w:val="24"/>
        </w:rPr>
      </w:pPr>
      <w:r>
        <w:rPr>
          <w:rFonts w:cs="Times New Roman" w:ascii="Times New Roman" w:hAnsi="Times New Roman"/>
          <w:bCs/>
          <w:sz w:val="24"/>
          <w:szCs w:val="24"/>
        </w:rPr>
        <w:t>по состоянию на 01.01.2017 г.</w:t>
      </w:r>
    </w:p>
    <w:p>
      <w:pPr>
        <w:pStyle w:val="Normal"/>
        <w:spacing w:lineRule="auto" w:line="240" w:before="0" w:after="0"/>
        <w:contextualSpacing/>
        <w:jc w:val="right"/>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contextualSpacing/>
        <w:jc w:val="right"/>
        <w:rPr>
          <w:rFonts w:ascii="Times New Roman" w:hAnsi="Times New Roman" w:cs="Times New Roman"/>
          <w:bCs/>
          <w:sz w:val="24"/>
          <w:szCs w:val="24"/>
        </w:rPr>
      </w:pPr>
      <w:r>
        <w:rPr>
          <w:rFonts w:cs="Times New Roman" w:ascii="Times New Roman" w:hAnsi="Times New Roman"/>
          <w:bCs/>
          <w:sz w:val="24"/>
          <w:szCs w:val="24"/>
        </w:rPr>
        <w:t>Площадь в тыс.га</w:t>
      </w:r>
    </w:p>
    <w:p>
      <w:pPr>
        <w:pStyle w:val="Normal"/>
        <w:spacing w:lineRule="auto" w:line="240" w:before="0" w:after="0"/>
        <w:contextualSpacing/>
        <w:jc w:val="right"/>
        <w:rPr>
          <w:rFonts w:ascii="Times New Roman" w:hAnsi="Times New Roman" w:cs="Times New Roman"/>
          <w:bCs/>
          <w:sz w:val="24"/>
          <w:szCs w:val="24"/>
        </w:rPr>
      </w:pPr>
      <w:r>
        <w:rPr>
          <w:rFonts w:cs="Times New Roman" w:ascii="Times New Roman" w:hAnsi="Times New Roman"/>
          <w:bCs/>
          <w:sz w:val="24"/>
          <w:szCs w:val="24"/>
        </w:rPr>
      </w:r>
    </w:p>
    <w:tbl>
      <w:tblPr>
        <w:tblW w:w="9680" w:type="dxa"/>
        <w:jc w:val="left"/>
        <w:tblInd w:w="543" w:type="dxa"/>
        <w:tblLayout w:type="fixed"/>
        <w:tblCellMar>
          <w:top w:w="0" w:type="dxa"/>
          <w:left w:w="108" w:type="dxa"/>
          <w:bottom w:w="0" w:type="dxa"/>
          <w:right w:w="108" w:type="dxa"/>
        </w:tblCellMar>
        <w:tblLook w:val="04a0" w:noHBand="0" w:noVBand="1" w:firstColumn="1" w:lastRow="0" w:lastColumn="0" w:firstRow="1"/>
      </w:tblPr>
      <w:tblGrid>
        <w:gridCol w:w="879"/>
        <w:gridCol w:w="6180"/>
        <w:gridCol w:w="2621"/>
      </w:tblGrid>
      <w:tr>
        <w:trPr>
          <w:trHeight w:val="300" w:hRule="atLeast"/>
        </w:trPr>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rPr>
              <w:t>п/п</w:t>
            </w:r>
          </w:p>
        </w:tc>
        <w:tc>
          <w:tcPr>
            <w:tcW w:w="618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sz w:val="24"/>
                <w:szCs w:val="24"/>
              </w:rPr>
              <w:t>Виды лесов по целевому назначению</w:t>
            </w:r>
          </w:p>
        </w:tc>
        <w:tc>
          <w:tcPr>
            <w:tcW w:w="26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sz w:val="24"/>
                <w:szCs w:val="24"/>
              </w:rPr>
              <w:t>Площадь, Всего*</w:t>
            </w:r>
          </w:p>
        </w:tc>
      </w:tr>
      <w:tr>
        <w:trPr>
          <w:trHeight w:val="300" w:hRule="atLeast"/>
        </w:trPr>
        <w:tc>
          <w:tcPr>
            <w:tcW w:w="87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sz w:val="24"/>
                <w:szCs w:val="24"/>
              </w:rPr>
              <w:t>1</w:t>
            </w:r>
          </w:p>
        </w:tc>
        <w:tc>
          <w:tcPr>
            <w:tcW w:w="61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sz w:val="24"/>
                <w:szCs w:val="24"/>
              </w:rPr>
              <w:t>2</w:t>
            </w:r>
          </w:p>
        </w:tc>
        <w:tc>
          <w:tcPr>
            <w:tcW w:w="26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sz w:val="24"/>
                <w:szCs w:val="24"/>
              </w:rPr>
              <w:t>3</w:t>
            </w:r>
          </w:p>
        </w:tc>
      </w:tr>
      <w:tr>
        <w:trPr>
          <w:trHeight w:val="300" w:hRule="atLeast"/>
        </w:trPr>
        <w:tc>
          <w:tcPr>
            <w:tcW w:w="87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1.</w:t>
            </w:r>
          </w:p>
        </w:tc>
        <w:tc>
          <w:tcPr>
            <w:tcW w:w="6180" w:type="dxa"/>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Защитные</w:t>
            </w:r>
          </w:p>
        </w:tc>
        <w:tc>
          <w:tcPr>
            <w:tcW w:w="26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2178</w:t>
            </w:r>
          </w:p>
        </w:tc>
      </w:tr>
      <w:tr>
        <w:trPr>
          <w:trHeight w:val="300" w:hRule="atLeast"/>
        </w:trPr>
        <w:tc>
          <w:tcPr>
            <w:tcW w:w="87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2.</w:t>
            </w:r>
          </w:p>
        </w:tc>
        <w:tc>
          <w:tcPr>
            <w:tcW w:w="6180" w:type="dxa"/>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Эксплуатационные</w:t>
            </w:r>
          </w:p>
        </w:tc>
        <w:tc>
          <w:tcPr>
            <w:tcW w:w="26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3977</w:t>
            </w:r>
          </w:p>
        </w:tc>
      </w:tr>
      <w:tr>
        <w:trPr>
          <w:trHeight w:val="300" w:hRule="atLeast"/>
        </w:trPr>
        <w:tc>
          <w:tcPr>
            <w:tcW w:w="87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3.</w:t>
            </w:r>
          </w:p>
        </w:tc>
        <w:tc>
          <w:tcPr>
            <w:tcW w:w="6180" w:type="dxa"/>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Резервные</w:t>
            </w:r>
          </w:p>
        </w:tc>
        <w:tc>
          <w:tcPr>
            <w:tcW w:w="26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p>
        </w:tc>
      </w:tr>
      <w:tr>
        <w:trPr>
          <w:trHeight w:val="300" w:hRule="atLeast"/>
        </w:trPr>
        <w:tc>
          <w:tcPr>
            <w:tcW w:w="87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rPr>
            </w:pPr>
            <w:r>
              <w:rPr/>
            </w:r>
          </w:p>
        </w:tc>
        <w:tc>
          <w:tcPr>
            <w:tcW w:w="6180" w:type="dxa"/>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Итого:</w:t>
            </w:r>
          </w:p>
        </w:tc>
        <w:tc>
          <w:tcPr>
            <w:tcW w:w="26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6155</w:t>
            </w:r>
          </w:p>
        </w:tc>
      </w:tr>
    </w:tbl>
    <w:p>
      <w:pPr>
        <w:pStyle w:val="Normal"/>
        <w:spacing w:lineRule="auto" w:line="240" w:before="0" w:after="0"/>
        <w:contextualSpacing/>
        <w:jc w:val="center"/>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 xml:space="preserve">&lt;*&gt; Заполняется по сведениям ГКН, указывается общая площадь земельных участков с категорией земель "Земли лесного фонда" в соответствии с классификатором, утвержденным </w:t>
      </w:r>
      <w:hyperlink r:id="rId143">
        <w:r>
          <w:rPr>
            <w:rFonts w:cs="Times New Roman" w:ascii="Times New Roman" w:hAnsi="Times New Roman"/>
            <w:sz w:val="24"/>
            <w:szCs w:val="24"/>
          </w:rPr>
          <w:t>приказом</w:t>
        </w:r>
      </w:hyperlink>
      <w:r>
        <w:rPr>
          <w:rFonts w:cs="Times New Roman" w:ascii="Times New Roman" w:hAnsi="Times New Roman"/>
          <w:sz w:val="24"/>
          <w:szCs w:val="24"/>
        </w:rPr>
        <w:t xml:space="preserve"> Росреестра от 12.10.2011 N 389, в пределах которых расположены леса с категориями: резервная, эксплуатационная, защитная.</w:t>
      </w:r>
    </w:p>
    <w:p>
      <w:pPr>
        <w:pStyle w:val="Normal"/>
        <w:spacing w:lineRule="auto" w:line="240" w:before="0" w:after="0"/>
        <w:contextualSpacing/>
        <w:jc w:val="center"/>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contextualSpacing/>
        <w:jc w:val="center"/>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contextualSpacing/>
        <w:jc w:val="center"/>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contextualSpacing/>
        <w:jc w:val="center"/>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contextualSpacing/>
        <w:jc w:val="center"/>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contextualSpacing/>
        <w:jc w:val="center"/>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contextualSpacing/>
        <w:jc w:val="center"/>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sectPr>
          <w:headerReference w:type="default" r:id="rId144"/>
          <w:footerReference w:type="default" r:id="rId145"/>
          <w:type w:val="nextPage"/>
          <w:pgSz w:w="11906" w:h="16838"/>
          <w:pgMar w:left="851" w:right="851" w:gutter="0" w:header="709" w:top="1134" w:footer="709" w:bottom="1134"/>
          <w:pgNumType w:fmt="decimal"/>
          <w:formProt w:val="false"/>
          <w:textDirection w:val="lrTb"/>
          <w:docGrid w:type="default" w:linePitch="299" w:charSpace="4096"/>
        </w:sect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t>Приложение № 14</w:t>
      </w:r>
    </w:p>
    <w:p>
      <w:pPr>
        <w:pStyle w:val="Normal"/>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 xml:space="preserve">Мониторинг состояния земель </w:t>
      </w:r>
    </w:p>
    <w:p>
      <w:pPr>
        <w:pStyle w:val="Normal"/>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 xml:space="preserve">(количественные показатели) </w:t>
      </w:r>
      <w:hyperlink r:id="rId146">
        <w:r>
          <w:rPr>
            <w:rFonts w:cs="Times New Roman" w:ascii="Times New Roman" w:hAnsi="Times New Roman"/>
            <w:b/>
            <w:sz w:val="24"/>
            <w:szCs w:val="24"/>
          </w:rPr>
          <w:t xml:space="preserve">&lt;*&gt; </w:t>
        </w:r>
      </w:hyperlink>
    </w:p>
    <w:p>
      <w:pPr>
        <w:pStyle w:val="Normal"/>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Распределение земель по категориям и угодьям</w:t>
      </w:r>
    </w:p>
    <w:p>
      <w:pPr>
        <w:pStyle w:val="Normal"/>
        <w:spacing w:lineRule="auto" w:line="240" w:before="0" w:after="0"/>
        <w:jc w:val="right"/>
        <w:rPr>
          <w:rFonts w:ascii="Times New Roman" w:hAnsi="Times New Roman" w:cs="Times New Roman"/>
          <w:bCs/>
          <w:sz w:val="24"/>
          <w:szCs w:val="24"/>
        </w:rPr>
      </w:pPr>
      <w:r>
        <w:rPr>
          <w:rFonts w:cs="Times New Roman" w:ascii="Times New Roman" w:hAnsi="Times New Roman"/>
          <w:bCs/>
          <w:sz w:val="24"/>
          <w:szCs w:val="24"/>
        </w:rPr>
        <w:t>по состоянию на 01.01.2017 г.</w:t>
      </w:r>
    </w:p>
    <w:tbl>
      <w:tblPr>
        <w:tblStyle w:val="a5"/>
        <w:tblW w:w="14992"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650"/>
        <w:gridCol w:w="4703"/>
        <w:gridCol w:w="1134"/>
        <w:gridCol w:w="992"/>
        <w:gridCol w:w="1700"/>
        <w:gridCol w:w="1276"/>
        <w:gridCol w:w="1277"/>
        <w:gridCol w:w="1237"/>
        <w:gridCol w:w="889"/>
        <w:gridCol w:w="1132"/>
      </w:tblGrid>
      <w:tr>
        <w:trPr>
          <w:trHeight w:val="141" w:hRule="atLeast"/>
        </w:trPr>
        <w:tc>
          <w:tcPr>
            <w:tcW w:w="650" w:type="dxa"/>
            <w:vMerge w:val="restart"/>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 xml:space="preserve">№ </w:t>
            </w:r>
            <w:r>
              <w:rPr>
                <w:rFonts w:eastAsia="" w:cs="Times New Roman" w:ascii="Times New Roman" w:hAnsi="Times New Roman"/>
                <w:bCs/>
                <w:kern w:val="0"/>
                <w:sz w:val="24"/>
                <w:szCs w:val="24"/>
                <w:lang w:val="ru-RU" w:eastAsia="en-US" w:bidi="en-US"/>
              </w:rPr>
              <w:t>п/п</w:t>
            </w:r>
          </w:p>
        </w:tc>
        <w:tc>
          <w:tcPr>
            <w:tcW w:w="4703" w:type="dxa"/>
            <w:vMerge w:val="restart"/>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Категории земель</w:t>
            </w:r>
          </w:p>
        </w:tc>
        <w:tc>
          <w:tcPr>
            <w:tcW w:w="9637" w:type="dxa"/>
            <w:gridSpan w:val="8"/>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kern w:val="0"/>
                <w:sz w:val="24"/>
                <w:szCs w:val="24"/>
                <w:lang w:val="ru-RU" w:eastAsia="en-US" w:bidi="en-US"/>
              </w:rPr>
              <w:t>Характеристика использования земель в разрезе угодий</w:t>
            </w:r>
          </w:p>
        </w:tc>
      </w:tr>
      <w:tr>
        <w:trPr>
          <w:trHeight w:val="138" w:hRule="atLeast"/>
        </w:trPr>
        <w:tc>
          <w:tcPr>
            <w:tcW w:w="650" w:type="dxa"/>
            <w:vMerge w:val="continue"/>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4703" w:type="dxa"/>
            <w:vMerge w:val="continue"/>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1134" w:type="dxa"/>
            <w:vMerge w:val="restart"/>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kern w:val="0"/>
                <w:sz w:val="24"/>
                <w:szCs w:val="24"/>
                <w:lang w:val="en-US" w:eastAsia="en-US" w:bidi="en-US"/>
              </w:rPr>
              <w:t>Всего, га (тыс. га)</w:t>
            </w:r>
          </w:p>
        </w:tc>
        <w:tc>
          <w:tcPr>
            <w:tcW w:w="8503" w:type="dxa"/>
            <w:gridSpan w:val="7"/>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kern w:val="0"/>
                <w:sz w:val="24"/>
                <w:szCs w:val="24"/>
                <w:lang w:val="ru-RU" w:eastAsia="en-US" w:bidi="en-US"/>
              </w:rPr>
              <w:t>Площадная характеристика в га (тыс. га)</w:t>
            </w:r>
          </w:p>
        </w:tc>
      </w:tr>
      <w:tr>
        <w:trPr>
          <w:trHeight w:val="138" w:hRule="atLeast"/>
        </w:trPr>
        <w:tc>
          <w:tcPr>
            <w:tcW w:w="650" w:type="dxa"/>
            <w:vMerge w:val="continue"/>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4703" w:type="dxa"/>
            <w:vMerge w:val="continue"/>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1134" w:type="dxa"/>
            <w:vMerge w:val="continue"/>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992" w:type="dxa"/>
            <w:vMerge w:val="restart"/>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kern w:val="0"/>
                <w:sz w:val="24"/>
                <w:szCs w:val="24"/>
                <w:lang w:val="en-US" w:eastAsia="en-US" w:bidi="en-US"/>
              </w:rPr>
              <w:t>Пашня</w:t>
            </w:r>
          </w:p>
        </w:tc>
        <w:tc>
          <w:tcPr>
            <w:tcW w:w="1700" w:type="dxa"/>
            <w:vMerge w:val="restart"/>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kern w:val="0"/>
                <w:sz w:val="24"/>
                <w:szCs w:val="24"/>
                <w:lang w:val="en-US" w:eastAsia="en-US" w:bidi="en-US"/>
              </w:rPr>
              <w:t>Многолетние насаждения</w:t>
            </w:r>
          </w:p>
        </w:tc>
        <w:tc>
          <w:tcPr>
            <w:tcW w:w="1276" w:type="dxa"/>
            <w:vMerge w:val="restart"/>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kern w:val="0"/>
                <w:sz w:val="24"/>
                <w:szCs w:val="24"/>
                <w:lang w:val="en-US" w:eastAsia="en-US" w:bidi="en-US"/>
              </w:rPr>
              <w:t>Сенокосы и пастбища</w:t>
            </w:r>
          </w:p>
        </w:tc>
        <w:tc>
          <w:tcPr>
            <w:tcW w:w="1277" w:type="dxa"/>
            <w:vMerge w:val="restart"/>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kern w:val="0"/>
                <w:sz w:val="24"/>
                <w:szCs w:val="24"/>
                <w:lang w:val="ru-RU" w:eastAsia="en-US" w:bidi="en-US"/>
              </w:rPr>
              <w:t>Земли под древесно-кустарниковой растительностью</w:t>
            </w:r>
          </w:p>
        </w:tc>
        <w:tc>
          <w:tcPr>
            <w:tcW w:w="3258" w:type="dxa"/>
            <w:gridSpan w:val="3"/>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kern w:val="0"/>
                <w:sz w:val="24"/>
                <w:szCs w:val="24"/>
                <w:lang w:val="ru-RU" w:eastAsia="en-US" w:bidi="en-US"/>
              </w:rPr>
              <w:t>Лесные земли, в т.ч.</w:t>
            </w:r>
          </w:p>
        </w:tc>
      </w:tr>
      <w:tr>
        <w:trPr>
          <w:trHeight w:val="138" w:hRule="atLeast"/>
        </w:trPr>
        <w:tc>
          <w:tcPr>
            <w:tcW w:w="650" w:type="dxa"/>
            <w:vMerge w:val="continue"/>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4703" w:type="dxa"/>
            <w:vMerge w:val="continue"/>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1134" w:type="dxa"/>
            <w:vMerge w:val="continue"/>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992" w:type="dxa"/>
            <w:vMerge w:val="continue"/>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1700" w:type="dxa"/>
            <w:vMerge w:val="continue"/>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1276" w:type="dxa"/>
            <w:vMerge w:val="continue"/>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1277" w:type="dxa"/>
            <w:vMerge w:val="continue"/>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123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kern w:val="0"/>
                <w:sz w:val="24"/>
                <w:szCs w:val="24"/>
                <w:lang w:val="en-US" w:eastAsia="en-US" w:bidi="en-US"/>
              </w:rPr>
              <w:t>покрытые лесом</w:t>
            </w:r>
          </w:p>
        </w:tc>
        <w:tc>
          <w:tcPr>
            <w:tcW w:w="889"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kern w:val="0"/>
                <w:sz w:val="24"/>
                <w:szCs w:val="24"/>
                <w:lang w:val="en-US" w:eastAsia="en-US" w:bidi="en-US"/>
              </w:rPr>
              <w:t>гари</w:t>
            </w:r>
          </w:p>
        </w:tc>
        <w:tc>
          <w:tcPr>
            <w:tcW w:w="113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kern w:val="0"/>
                <w:sz w:val="24"/>
                <w:szCs w:val="24"/>
                <w:lang w:val="en-US" w:eastAsia="en-US" w:bidi="en-US"/>
              </w:rPr>
              <w:t>вырубки</w:t>
            </w:r>
          </w:p>
        </w:tc>
      </w:tr>
      <w:tr>
        <w:trPr/>
        <w:tc>
          <w:tcPr>
            <w:tcW w:w="650"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w:t>
            </w:r>
          </w:p>
        </w:tc>
        <w:tc>
          <w:tcPr>
            <w:tcW w:w="4703"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w:t>
            </w:r>
          </w:p>
        </w:tc>
        <w:tc>
          <w:tcPr>
            <w:tcW w:w="113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w:t>
            </w:r>
          </w:p>
        </w:tc>
        <w:tc>
          <w:tcPr>
            <w:tcW w:w="992"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w:t>
            </w:r>
          </w:p>
        </w:tc>
        <w:tc>
          <w:tcPr>
            <w:tcW w:w="1700"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5</w:t>
            </w:r>
          </w:p>
        </w:tc>
        <w:tc>
          <w:tcPr>
            <w:tcW w:w="127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6</w:t>
            </w:r>
          </w:p>
        </w:tc>
        <w:tc>
          <w:tcPr>
            <w:tcW w:w="127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7</w:t>
            </w:r>
          </w:p>
        </w:tc>
        <w:tc>
          <w:tcPr>
            <w:tcW w:w="123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8</w:t>
            </w:r>
          </w:p>
        </w:tc>
        <w:tc>
          <w:tcPr>
            <w:tcW w:w="889"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9</w:t>
            </w:r>
          </w:p>
        </w:tc>
        <w:tc>
          <w:tcPr>
            <w:tcW w:w="1132"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10</w:t>
            </w:r>
          </w:p>
        </w:tc>
      </w:tr>
      <w:tr>
        <w:trPr/>
        <w:tc>
          <w:tcPr>
            <w:tcW w:w="65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w:t>
            </w:r>
          </w:p>
        </w:tc>
        <w:tc>
          <w:tcPr>
            <w:tcW w:w="4703" w:type="dxa"/>
            <w:tcBorders/>
          </w:tcPr>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kern w:val="0"/>
                <w:sz w:val="24"/>
                <w:szCs w:val="24"/>
                <w:lang w:val="en-US" w:eastAsia="en-US" w:bidi="en-US"/>
              </w:rPr>
              <w:t>Земли сельскохозяйственного назначения</w:t>
            </w:r>
          </w:p>
        </w:tc>
        <w:tc>
          <w:tcPr>
            <w:tcW w:w="1134"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1862,3</w:t>
            </w:r>
          </w:p>
        </w:tc>
        <w:tc>
          <w:tcPr>
            <w:tcW w:w="99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703,7</w:t>
            </w:r>
          </w:p>
        </w:tc>
        <w:tc>
          <w:tcPr>
            <w:tcW w:w="170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20</w:t>
            </w:r>
          </w:p>
        </w:tc>
        <w:tc>
          <w:tcPr>
            <w:tcW w:w="1276"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616,2</w:t>
            </w:r>
          </w:p>
        </w:tc>
        <w:tc>
          <w:tcPr>
            <w:tcW w:w="127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167</w:t>
            </w:r>
          </w:p>
        </w:tc>
        <w:tc>
          <w:tcPr>
            <w:tcW w:w="123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111</w:t>
            </w:r>
          </w:p>
        </w:tc>
        <w:tc>
          <w:tcPr>
            <w:tcW w:w="889"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13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r>
      <w:tr>
        <w:trPr/>
        <w:tc>
          <w:tcPr>
            <w:tcW w:w="65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w:t>
            </w:r>
          </w:p>
        </w:tc>
        <w:tc>
          <w:tcPr>
            <w:tcW w:w="4703" w:type="dxa"/>
            <w:tcBorders/>
          </w:tcPr>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kern w:val="0"/>
                <w:sz w:val="24"/>
                <w:szCs w:val="24"/>
                <w:lang w:val="en-US" w:eastAsia="en-US" w:bidi="en-US"/>
              </w:rPr>
              <w:t>Земли населенных пунктов</w:t>
            </w:r>
          </w:p>
        </w:tc>
        <w:tc>
          <w:tcPr>
            <w:tcW w:w="1134"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249,4</w:t>
            </w:r>
          </w:p>
        </w:tc>
        <w:tc>
          <w:tcPr>
            <w:tcW w:w="99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41,4</w:t>
            </w:r>
          </w:p>
        </w:tc>
        <w:tc>
          <w:tcPr>
            <w:tcW w:w="170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5,6</w:t>
            </w:r>
          </w:p>
        </w:tc>
        <w:tc>
          <w:tcPr>
            <w:tcW w:w="1276"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19,6</w:t>
            </w:r>
          </w:p>
        </w:tc>
        <w:tc>
          <w:tcPr>
            <w:tcW w:w="127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17,1</w:t>
            </w:r>
          </w:p>
        </w:tc>
        <w:tc>
          <w:tcPr>
            <w:tcW w:w="123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47,6</w:t>
            </w:r>
          </w:p>
        </w:tc>
        <w:tc>
          <w:tcPr>
            <w:tcW w:w="889"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13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r>
      <w:tr>
        <w:trPr/>
        <w:tc>
          <w:tcPr>
            <w:tcW w:w="65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w:t>
            </w:r>
          </w:p>
        </w:tc>
        <w:tc>
          <w:tcPr>
            <w:tcW w:w="4703"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kern w:val="0"/>
                <w:sz w:val="24"/>
                <w:szCs w:val="24"/>
                <w:lang w:val="ru-RU" w:eastAsia="en-US" w:bidi="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384,3</w:t>
            </w:r>
          </w:p>
        </w:tc>
        <w:tc>
          <w:tcPr>
            <w:tcW w:w="99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1,3</w:t>
            </w:r>
          </w:p>
        </w:tc>
        <w:tc>
          <w:tcPr>
            <w:tcW w:w="170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0,3</w:t>
            </w:r>
          </w:p>
        </w:tc>
        <w:tc>
          <w:tcPr>
            <w:tcW w:w="1276"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31,3</w:t>
            </w:r>
          </w:p>
        </w:tc>
        <w:tc>
          <w:tcPr>
            <w:tcW w:w="127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25,6</w:t>
            </w:r>
          </w:p>
        </w:tc>
        <w:tc>
          <w:tcPr>
            <w:tcW w:w="123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171,2</w:t>
            </w:r>
          </w:p>
        </w:tc>
        <w:tc>
          <w:tcPr>
            <w:tcW w:w="889"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13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r>
      <w:tr>
        <w:trPr/>
        <w:tc>
          <w:tcPr>
            <w:tcW w:w="65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w:t>
            </w:r>
          </w:p>
        </w:tc>
        <w:tc>
          <w:tcPr>
            <w:tcW w:w="4703"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kern w:val="0"/>
                <w:sz w:val="24"/>
                <w:szCs w:val="24"/>
                <w:lang w:val="ru-RU" w:eastAsia="en-US" w:bidi="en-US"/>
              </w:rPr>
              <w:t>Земли особо охраняемых территорий и объектов</w:t>
            </w:r>
          </w:p>
        </w:tc>
        <w:tc>
          <w:tcPr>
            <w:tcW w:w="1134"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847,3</w:t>
            </w:r>
          </w:p>
        </w:tc>
        <w:tc>
          <w:tcPr>
            <w:tcW w:w="99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0,1</w:t>
            </w:r>
          </w:p>
        </w:tc>
        <w:tc>
          <w:tcPr>
            <w:tcW w:w="170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276"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35,9</w:t>
            </w:r>
          </w:p>
        </w:tc>
        <w:tc>
          <w:tcPr>
            <w:tcW w:w="127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6,9</w:t>
            </w:r>
          </w:p>
        </w:tc>
        <w:tc>
          <w:tcPr>
            <w:tcW w:w="123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765,6</w:t>
            </w:r>
          </w:p>
        </w:tc>
        <w:tc>
          <w:tcPr>
            <w:tcW w:w="889"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13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r>
      <w:tr>
        <w:trPr/>
        <w:tc>
          <w:tcPr>
            <w:tcW w:w="65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5</w:t>
            </w:r>
          </w:p>
        </w:tc>
        <w:tc>
          <w:tcPr>
            <w:tcW w:w="4703"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kern w:val="0"/>
                <w:sz w:val="24"/>
                <w:szCs w:val="24"/>
                <w:lang w:val="en-US" w:eastAsia="en-US" w:bidi="en-US"/>
              </w:rPr>
              <w:t>Земли лесного фонда</w:t>
            </w:r>
          </w:p>
        </w:tc>
        <w:tc>
          <w:tcPr>
            <w:tcW w:w="1134"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12150,9</w:t>
            </w:r>
          </w:p>
        </w:tc>
        <w:tc>
          <w:tcPr>
            <w:tcW w:w="99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2,5</w:t>
            </w:r>
          </w:p>
        </w:tc>
        <w:tc>
          <w:tcPr>
            <w:tcW w:w="170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276"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35,6</w:t>
            </w:r>
          </w:p>
        </w:tc>
        <w:tc>
          <w:tcPr>
            <w:tcW w:w="127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38,9</w:t>
            </w:r>
          </w:p>
        </w:tc>
        <w:tc>
          <w:tcPr>
            <w:tcW w:w="123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11772</w:t>
            </w:r>
          </w:p>
        </w:tc>
        <w:tc>
          <w:tcPr>
            <w:tcW w:w="889"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13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r>
      <w:tr>
        <w:trPr/>
        <w:tc>
          <w:tcPr>
            <w:tcW w:w="65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6</w:t>
            </w:r>
          </w:p>
        </w:tc>
        <w:tc>
          <w:tcPr>
            <w:tcW w:w="4703"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kern w:val="0"/>
                <w:sz w:val="24"/>
                <w:szCs w:val="24"/>
                <w:lang w:val="en-US" w:eastAsia="en-US" w:bidi="en-US"/>
              </w:rPr>
              <w:t>Земли водного фонда</w:t>
            </w:r>
          </w:p>
        </w:tc>
        <w:tc>
          <w:tcPr>
            <w:tcW w:w="1134"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323,2</w:t>
            </w:r>
          </w:p>
        </w:tc>
        <w:tc>
          <w:tcPr>
            <w:tcW w:w="99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70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276"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0,2</w:t>
            </w:r>
          </w:p>
        </w:tc>
        <w:tc>
          <w:tcPr>
            <w:tcW w:w="127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0,2</w:t>
            </w:r>
          </w:p>
        </w:tc>
        <w:tc>
          <w:tcPr>
            <w:tcW w:w="123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889"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13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r>
      <w:tr>
        <w:trPr/>
        <w:tc>
          <w:tcPr>
            <w:tcW w:w="65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7</w:t>
            </w:r>
          </w:p>
        </w:tc>
        <w:tc>
          <w:tcPr>
            <w:tcW w:w="4703"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kern w:val="0"/>
                <w:sz w:val="24"/>
                <w:szCs w:val="24"/>
                <w:lang w:val="en-US" w:eastAsia="en-US" w:bidi="en-US"/>
              </w:rPr>
              <w:t>Земли запаса</w:t>
            </w:r>
          </w:p>
        </w:tc>
        <w:tc>
          <w:tcPr>
            <w:tcW w:w="1134"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649,9</w:t>
            </w:r>
          </w:p>
        </w:tc>
        <w:tc>
          <w:tcPr>
            <w:tcW w:w="99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5,8</w:t>
            </w:r>
          </w:p>
        </w:tc>
        <w:tc>
          <w:tcPr>
            <w:tcW w:w="170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276"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68,5</w:t>
            </w:r>
          </w:p>
        </w:tc>
        <w:tc>
          <w:tcPr>
            <w:tcW w:w="127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152,1</w:t>
            </w:r>
          </w:p>
        </w:tc>
        <w:tc>
          <w:tcPr>
            <w:tcW w:w="123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156,6</w:t>
            </w:r>
          </w:p>
        </w:tc>
        <w:tc>
          <w:tcPr>
            <w:tcW w:w="889"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13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r>
      <w:tr>
        <w:trPr/>
        <w:tc>
          <w:tcPr>
            <w:tcW w:w="65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4703" w:type="dxa"/>
            <w:tcBorders/>
          </w:tcPr>
          <w:p>
            <w:pPr>
              <w:pStyle w:val="Normal"/>
              <w:widowControl/>
              <w:spacing w:lineRule="auto" w:line="240" w:before="0" w:after="0"/>
              <w:contextualSpacing/>
              <w:jc w:val="left"/>
              <w:rPr>
                <w:rFonts w:ascii="Times New Roman" w:hAnsi="Times New Roman" w:cs="Times New Roman"/>
                <w:bCs/>
                <w:sz w:val="24"/>
                <w:szCs w:val="24"/>
                <w:lang w:val="ru-RU"/>
              </w:rPr>
            </w:pPr>
            <w:r>
              <w:rPr>
                <w:rFonts w:eastAsia=""/>
                <w:kern w:val="0"/>
                <w:sz w:val="24"/>
                <w:szCs w:val="24"/>
                <w:lang w:val="en-US" w:eastAsia="en-US" w:bidi="en-US"/>
              </w:rPr>
              <w:t>Итого земель:</w:t>
            </w:r>
          </w:p>
        </w:tc>
        <w:tc>
          <w:tcPr>
            <w:tcW w:w="1134"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16467,3</w:t>
            </w:r>
          </w:p>
        </w:tc>
        <w:tc>
          <w:tcPr>
            <w:tcW w:w="99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754,8</w:t>
            </w:r>
          </w:p>
        </w:tc>
        <w:tc>
          <w:tcPr>
            <w:tcW w:w="1700"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25,9</w:t>
            </w:r>
          </w:p>
        </w:tc>
        <w:tc>
          <w:tcPr>
            <w:tcW w:w="1276"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807,3</w:t>
            </w:r>
          </w:p>
        </w:tc>
        <w:tc>
          <w:tcPr>
            <w:tcW w:w="127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407,8</w:t>
            </w:r>
          </w:p>
        </w:tc>
        <w:tc>
          <w:tcPr>
            <w:tcW w:w="1237"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13024</w:t>
            </w:r>
          </w:p>
        </w:tc>
        <w:tc>
          <w:tcPr>
            <w:tcW w:w="889"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113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r>
    </w:tbl>
    <w:p>
      <w:pPr>
        <w:pStyle w:val="Normal"/>
        <w:spacing w:lineRule="auto" w:line="240" w:before="0" w:after="0"/>
        <w:jc w:val="right"/>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jc w:val="right"/>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jc w:val="right"/>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jc w:val="right"/>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jc w:val="right"/>
        <w:rPr>
          <w:rFonts w:ascii="Times New Roman" w:hAnsi="Times New Roman" w:cs="Times New Roman"/>
          <w:bCs/>
          <w:sz w:val="24"/>
          <w:szCs w:val="24"/>
        </w:rPr>
      </w:pPr>
      <w:r>
        <w:rPr>
          <w:rFonts w:cs="Times New Roman" w:ascii="Times New Roman" w:hAnsi="Times New Roman"/>
          <w:bCs/>
          <w:sz w:val="24"/>
          <w:szCs w:val="24"/>
        </w:rPr>
        <w:t>Продолжение приложения № 14</w:t>
      </w:r>
    </w:p>
    <w:p>
      <w:pPr>
        <w:pStyle w:val="Normal"/>
        <w:spacing w:lineRule="auto" w:line="240" w:before="0" w:after="0"/>
        <w:jc w:val="right"/>
        <w:rPr>
          <w:rFonts w:ascii="Times New Roman" w:hAnsi="Times New Roman" w:cs="Times New Roman"/>
          <w:bCs/>
          <w:sz w:val="24"/>
          <w:szCs w:val="24"/>
        </w:rPr>
      </w:pPr>
      <w:r>
        <w:rPr>
          <w:rFonts w:cs="Times New Roman" w:ascii="Times New Roman" w:hAnsi="Times New Roman"/>
          <w:bCs/>
          <w:sz w:val="24"/>
          <w:szCs w:val="24"/>
        </w:rPr>
      </w:r>
    </w:p>
    <w:tbl>
      <w:tblPr>
        <w:tblStyle w:val="a5"/>
        <w:tblW w:w="1478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112"/>
        <w:gridCol w:w="2112"/>
        <w:gridCol w:w="2111"/>
        <w:gridCol w:w="1"/>
        <w:gridCol w:w="2112"/>
        <w:gridCol w:w="1"/>
        <w:gridCol w:w="2111"/>
        <w:gridCol w:w="1"/>
        <w:gridCol w:w="2112"/>
        <w:gridCol w:w="2112"/>
      </w:tblGrid>
      <w:tr>
        <w:trPr>
          <w:trHeight w:val="278" w:hRule="atLeast"/>
        </w:trPr>
        <w:tc>
          <w:tcPr>
            <w:tcW w:w="2112" w:type="dxa"/>
            <w:vMerge w:val="restart"/>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Земли под застройкой</w:t>
            </w:r>
          </w:p>
        </w:tc>
        <w:tc>
          <w:tcPr>
            <w:tcW w:w="4223" w:type="dxa"/>
            <w:gridSpan w:val="2"/>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kern w:val="0"/>
                <w:sz w:val="22"/>
                <w:szCs w:val="22"/>
                <w:lang w:val="ru-RU" w:eastAsia="en-US" w:bidi="en-US"/>
              </w:rPr>
              <w:t>Земли под водой, в т.ч.</w:t>
            </w:r>
          </w:p>
        </w:tc>
        <w:tc>
          <w:tcPr>
            <w:tcW w:w="2113" w:type="dxa"/>
            <w:gridSpan w:val="2"/>
            <w:vMerge w:val="restart"/>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Земли под дорогами, коммуникациями, улицами, площадями</w:t>
            </w:r>
          </w:p>
        </w:tc>
        <w:tc>
          <w:tcPr>
            <w:tcW w:w="2112" w:type="dxa"/>
            <w:gridSpan w:val="2"/>
            <w:vMerge w:val="restart"/>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Болота</w:t>
            </w:r>
          </w:p>
        </w:tc>
        <w:tc>
          <w:tcPr>
            <w:tcW w:w="2113" w:type="dxa"/>
            <w:gridSpan w:val="2"/>
            <w:vMerge w:val="restart"/>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Нарушенные земли</w:t>
            </w:r>
          </w:p>
        </w:tc>
        <w:tc>
          <w:tcPr>
            <w:tcW w:w="2112" w:type="dxa"/>
            <w:vMerge w:val="restart"/>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Прочие земли</w:t>
            </w:r>
          </w:p>
        </w:tc>
      </w:tr>
      <w:tr>
        <w:trPr>
          <w:trHeight w:val="2324" w:hRule="atLeast"/>
        </w:trPr>
        <w:tc>
          <w:tcPr>
            <w:tcW w:w="2112" w:type="dxa"/>
            <w:vMerge w:val="continue"/>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2112"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Естественные водоемы</w:t>
            </w:r>
          </w:p>
        </w:tc>
        <w:tc>
          <w:tcPr>
            <w:tcW w:w="2112" w:type="dxa"/>
            <w:gridSpan w:val="2"/>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Искусственные водоемы</w:t>
            </w:r>
          </w:p>
        </w:tc>
        <w:tc>
          <w:tcPr>
            <w:tcW w:w="2113" w:type="dxa"/>
            <w:gridSpan w:val="2"/>
            <w:vMerge w:val="continue"/>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2112" w:type="dxa"/>
            <w:gridSpan w:val="2"/>
            <w:vMerge w:val="continue"/>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2112" w:type="dxa"/>
            <w:vMerge w:val="continue"/>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c>
          <w:tcPr>
            <w:tcW w:w="2112" w:type="dxa"/>
            <w:vMerge w:val="continue"/>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2"/>
                <w:szCs w:val="22"/>
                <w:lang w:val="en-US" w:eastAsia="en-US" w:bidi="en-US"/>
              </w:rPr>
            </w:r>
          </w:p>
        </w:tc>
      </w:tr>
      <w:tr>
        <w:trPr/>
        <w:tc>
          <w:tcPr>
            <w:tcW w:w="2112"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11</w:t>
            </w:r>
          </w:p>
        </w:tc>
        <w:tc>
          <w:tcPr>
            <w:tcW w:w="2112"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12</w:t>
            </w:r>
          </w:p>
        </w:tc>
        <w:tc>
          <w:tcPr>
            <w:tcW w:w="2112" w:type="dxa"/>
            <w:gridSpan w:val="2"/>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13</w:t>
            </w:r>
          </w:p>
        </w:tc>
        <w:tc>
          <w:tcPr>
            <w:tcW w:w="2113" w:type="dxa"/>
            <w:gridSpan w:val="2"/>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14</w:t>
            </w:r>
          </w:p>
        </w:tc>
        <w:tc>
          <w:tcPr>
            <w:tcW w:w="2112" w:type="dxa"/>
            <w:gridSpan w:val="2"/>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15</w:t>
            </w:r>
          </w:p>
        </w:tc>
        <w:tc>
          <w:tcPr>
            <w:tcW w:w="2112"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16</w:t>
            </w:r>
          </w:p>
        </w:tc>
        <w:tc>
          <w:tcPr>
            <w:tcW w:w="2112"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17</w:t>
            </w:r>
          </w:p>
        </w:tc>
      </w:tr>
      <w:tr>
        <w:trPr/>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4,5</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33,5</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0,7</w:t>
            </w:r>
          </w:p>
        </w:tc>
        <w:tc>
          <w:tcPr>
            <w:tcW w:w="2113"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18,4</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101,6</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0,8</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24,3</w:t>
            </w:r>
          </w:p>
        </w:tc>
      </w:tr>
      <w:tr>
        <w:trPr/>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76,4</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2,7</w:t>
            </w:r>
          </w:p>
        </w:tc>
        <w:tc>
          <w:tcPr>
            <w:tcW w:w="2113"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22,7</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2,8</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0,6</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12</w:t>
            </w:r>
          </w:p>
        </w:tc>
      </w:tr>
      <w:tr>
        <w:trPr>
          <w:trHeight w:val="1968" w:hRule="atLeast"/>
        </w:trPr>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21,7</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4,3</w:t>
            </w:r>
          </w:p>
        </w:tc>
        <w:tc>
          <w:tcPr>
            <w:tcW w:w="2113"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27,2</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24,2</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12</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64,9</w:t>
            </w:r>
          </w:p>
        </w:tc>
      </w:tr>
      <w:tr>
        <w:trPr>
          <w:trHeight w:val="692" w:hRule="atLeast"/>
        </w:trPr>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0,2</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3,7</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2113"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0,5</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28,2</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6,1</w:t>
            </w:r>
          </w:p>
        </w:tc>
      </w:tr>
      <w:tr>
        <w:trPr/>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5,2</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35,7</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2113"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21,9</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133,7</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1,3</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104,1</w:t>
            </w:r>
          </w:p>
        </w:tc>
      </w:tr>
      <w:tr>
        <w:trPr/>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0,1</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318</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4,2</w:t>
            </w:r>
          </w:p>
        </w:tc>
        <w:tc>
          <w:tcPr>
            <w:tcW w:w="2113"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0,1</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0,4</w:t>
            </w:r>
          </w:p>
        </w:tc>
      </w:tr>
      <w:tr>
        <w:trPr/>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2,0</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21,8</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w:t>
            </w:r>
          </w:p>
        </w:tc>
        <w:tc>
          <w:tcPr>
            <w:tcW w:w="2113"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10,6</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176,2</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2,1</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50,6</w:t>
            </w:r>
          </w:p>
        </w:tc>
      </w:tr>
      <w:tr>
        <w:trPr/>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110,1</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412,7</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11,9</w:t>
            </w:r>
          </w:p>
        </w:tc>
        <w:tc>
          <w:tcPr>
            <w:tcW w:w="2113"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101,4</w:t>
            </w:r>
          </w:p>
        </w:tc>
        <w:tc>
          <w:tcPr>
            <w:tcW w:w="2112" w:type="dxa"/>
            <w:gridSpan w:val="2"/>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466,7</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16,8</w:t>
            </w:r>
          </w:p>
        </w:tc>
        <w:tc>
          <w:tcPr>
            <w:tcW w:w="2112" w:type="dxa"/>
            <w:tcBorders/>
          </w:tcPr>
          <w:p>
            <w:pPr>
              <w:pStyle w:val="Normal"/>
              <w:widowControl/>
              <w:spacing w:lineRule="auto" w:line="240" w:before="0" w:after="0"/>
              <w:jc w:val="righ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262,4</w:t>
            </w:r>
          </w:p>
        </w:tc>
      </w:tr>
    </w:tbl>
    <w:p>
      <w:pPr>
        <w:pStyle w:val="ConsPlusNormal"/>
        <w:ind w:firstLine="540"/>
        <w:jc w:val="both"/>
        <w:rPr>
          <w:rFonts w:eastAsia="" w:eastAsiaTheme="minorEastAsia"/>
          <w:sz w:val="24"/>
          <w:szCs w:val="24"/>
        </w:rPr>
      </w:pPr>
      <w:r>
        <w:rPr>
          <w:bCs/>
          <w:sz w:val="24"/>
          <w:szCs w:val="24"/>
        </w:rPr>
        <w:t xml:space="preserve"> </w:t>
      </w:r>
      <w:r>
        <w:rPr>
          <w:rFonts w:eastAsia="" w:eastAsiaTheme="minorEastAsia"/>
          <w:sz w:val="24"/>
          <w:szCs w:val="24"/>
        </w:rPr>
        <w:t>--------------------------------</w:t>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 xml:space="preserve">&lt;*&gt; Заполняется согласно </w:t>
      </w:r>
      <w:hyperlink r:id="rId147">
        <w:r>
          <w:rPr>
            <w:rFonts w:cs="Times New Roman" w:ascii="Times New Roman" w:hAnsi="Times New Roman"/>
            <w:sz w:val="24"/>
            <w:szCs w:val="24"/>
          </w:rPr>
          <w:t>форме</w:t>
        </w:r>
      </w:hyperlink>
      <w:r>
        <w:rPr>
          <w:rFonts w:cs="Times New Roman" w:ascii="Times New Roman" w:hAnsi="Times New Roman"/>
          <w:sz w:val="24"/>
          <w:szCs w:val="24"/>
        </w:rPr>
        <w:t xml:space="preserve"> федеральной статистической отчетности N 22-2 в разрезе категорий земель.</w:t>
      </w:r>
    </w:p>
    <w:p>
      <w:pPr>
        <w:pStyle w:val="Normal"/>
        <w:spacing w:lineRule="auto" w:line="240" w:before="0" w:after="0"/>
        <w:jc w:val="right"/>
        <w:rPr>
          <w:rFonts w:ascii="Times New Roman" w:hAnsi="Times New Roman" w:cs="Times New Roman"/>
          <w:bCs/>
          <w:sz w:val="24"/>
          <w:szCs w:val="24"/>
        </w:rPr>
      </w:pPr>
      <w:r>
        <w:rPr>
          <w:rFonts w:cs="Times New Roman" w:ascii="Times New Roman" w:hAnsi="Times New Roman"/>
          <w:bCs/>
          <w:sz w:val="24"/>
          <w:szCs w:val="24"/>
        </w:rPr>
      </w:r>
    </w:p>
    <w:p>
      <w:pPr>
        <w:sectPr>
          <w:headerReference w:type="default" r:id="rId148"/>
          <w:footerReference w:type="default" r:id="rId149"/>
          <w:type w:val="nextPage"/>
          <w:pgSz w:orient="landscape" w:w="16838" w:h="11906"/>
          <w:pgMar w:left="1134" w:right="1134" w:gutter="0" w:header="709" w:top="851" w:footer="709" w:bottom="851"/>
          <w:pgNumType w:fmt="decimal"/>
          <w:formProt w:val="false"/>
          <w:textDirection w:val="lrTb"/>
          <w:docGrid w:type="default" w:linePitch="299" w:charSpace="4096"/>
        </w:sectPr>
        <w:pStyle w:val="Normal"/>
        <w:spacing w:lineRule="auto" w:line="240" w:before="0" w:after="0"/>
        <w:jc w:val="right"/>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jc w:val="right"/>
        <w:rPr>
          <w:rFonts w:ascii="Times New Roman" w:hAnsi="Times New Roman" w:cs="Times New Roman"/>
          <w:bCs/>
          <w:sz w:val="28"/>
          <w:szCs w:val="28"/>
        </w:rPr>
      </w:pPr>
      <w:r>
        <w:rPr>
          <w:rFonts w:cs="Times New Roman" w:ascii="Times New Roman" w:hAnsi="Times New Roman"/>
          <w:bCs/>
          <w:sz w:val="28"/>
          <w:szCs w:val="28"/>
        </w:rPr>
        <w:t>Приложение № 15</w:t>
      </w:r>
    </w:p>
    <w:p>
      <w:pPr>
        <w:pStyle w:val="Normal"/>
        <w:spacing w:lineRule="auto" w:line="240" w:before="0" w:after="0"/>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Мониторинг состояния земель </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(количественные показатели)</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Динамика изменения площадей угодий </w:t>
      </w:r>
      <w:hyperlink r:id="rId150">
        <w:r>
          <w:rPr>
            <w:rFonts w:cs="Times New Roman" w:ascii="Times New Roman" w:hAnsi="Times New Roman"/>
            <w:b/>
            <w:sz w:val="24"/>
            <w:szCs w:val="24"/>
          </w:rPr>
          <w:t xml:space="preserve">&lt;*&gt; </w:t>
        </w:r>
      </w:hyperlink>
    </w:p>
    <w:p>
      <w:pPr>
        <w:pStyle w:val="Normal"/>
        <w:spacing w:lineRule="auto" w:line="240" w:before="0" w:after="0"/>
        <w:jc w:val="center"/>
        <w:rPr/>
      </w:pPr>
      <w:r>
        <w:rPr/>
      </w:r>
    </w:p>
    <w:tbl>
      <w:tblPr>
        <w:tblStyle w:val="a5"/>
        <w:tblW w:w="1042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16"/>
        <w:gridCol w:w="3119"/>
        <w:gridCol w:w="2317"/>
        <w:gridCol w:w="2084"/>
        <w:gridCol w:w="2084"/>
      </w:tblGrid>
      <w:tr>
        <w:trPr/>
        <w:tc>
          <w:tcPr>
            <w:tcW w:w="81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 xml:space="preserve">№ </w:t>
            </w:r>
            <w:r>
              <w:rPr>
                <w:rFonts w:eastAsia="" w:cs="Times New Roman" w:ascii="Times New Roman" w:hAnsi="Times New Roman"/>
                <w:bCs/>
                <w:kern w:val="0"/>
                <w:sz w:val="24"/>
                <w:szCs w:val="24"/>
                <w:lang w:val="ru-RU" w:eastAsia="en-US" w:bidi="en-US"/>
              </w:rPr>
              <w:t>п/п</w:t>
            </w:r>
          </w:p>
        </w:tc>
        <w:tc>
          <w:tcPr>
            <w:tcW w:w="3119"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Вид угодий</w:t>
            </w:r>
          </w:p>
        </w:tc>
        <w:tc>
          <w:tcPr>
            <w:tcW w:w="231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Площадь угодий в тыс.га (по состоянию на 01.01.2015)</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Площадь угодий в тыс.га (по состоянию на 01.01.2016)</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Изменение площади, га,</w:t>
            </w:r>
          </w:p>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 xml:space="preserve"> </w:t>
            </w:r>
            <w:r>
              <w:rPr>
                <w:rFonts w:eastAsia="" w:cs="Times New Roman" w:ascii="Times New Roman" w:hAnsi="Times New Roman"/>
                <w:bCs/>
                <w:kern w:val="0"/>
                <w:sz w:val="24"/>
                <w:szCs w:val="24"/>
                <w:lang w:val="ru-RU" w:eastAsia="en-US" w:bidi="en-US"/>
              </w:rPr>
              <w:t>+/-</w:t>
            </w:r>
          </w:p>
        </w:tc>
      </w:tr>
      <w:tr>
        <w:trPr/>
        <w:tc>
          <w:tcPr>
            <w:tcW w:w="81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w:t>
            </w:r>
          </w:p>
        </w:tc>
        <w:tc>
          <w:tcPr>
            <w:tcW w:w="3119"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w:t>
            </w:r>
          </w:p>
        </w:tc>
        <w:tc>
          <w:tcPr>
            <w:tcW w:w="231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5</w:t>
            </w:r>
          </w:p>
        </w:tc>
      </w:tr>
      <w:tr>
        <w:trPr/>
        <w:tc>
          <w:tcPr>
            <w:tcW w:w="81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w:t>
            </w:r>
          </w:p>
        </w:tc>
        <w:tc>
          <w:tcPr>
            <w:tcW w:w="3119" w:type="dxa"/>
            <w:tcBorders/>
          </w:tcPr>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Пашня</w:t>
            </w:r>
          </w:p>
        </w:tc>
        <w:tc>
          <w:tcPr>
            <w:tcW w:w="231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754,4</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754,8</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+400</w:t>
            </w:r>
          </w:p>
        </w:tc>
      </w:tr>
      <w:tr>
        <w:trPr/>
        <w:tc>
          <w:tcPr>
            <w:tcW w:w="81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w:t>
            </w:r>
          </w:p>
        </w:tc>
        <w:tc>
          <w:tcPr>
            <w:tcW w:w="3119" w:type="dxa"/>
            <w:tcBorders/>
          </w:tcPr>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Многолетние насаждения</w:t>
            </w:r>
          </w:p>
        </w:tc>
        <w:tc>
          <w:tcPr>
            <w:tcW w:w="231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26,4</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25,9</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-500</w:t>
            </w:r>
          </w:p>
        </w:tc>
      </w:tr>
      <w:tr>
        <w:trPr/>
        <w:tc>
          <w:tcPr>
            <w:tcW w:w="81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w:t>
            </w:r>
          </w:p>
        </w:tc>
        <w:tc>
          <w:tcPr>
            <w:tcW w:w="3119" w:type="dxa"/>
            <w:tcBorders/>
          </w:tcPr>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Сенокосы и пастбища</w:t>
            </w:r>
          </w:p>
        </w:tc>
        <w:tc>
          <w:tcPr>
            <w:tcW w:w="231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807</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807,3</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+300</w:t>
            </w:r>
          </w:p>
        </w:tc>
      </w:tr>
      <w:tr>
        <w:trPr/>
        <w:tc>
          <w:tcPr>
            <w:tcW w:w="81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w:t>
            </w:r>
          </w:p>
        </w:tc>
        <w:tc>
          <w:tcPr>
            <w:tcW w:w="3119" w:type="dxa"/>
            <w:tcBorders/>
          </w:tcPr>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Земли под древесно-кустарниковой растительностью</w:t>
            </w:r>
          </w:p>
        </w:tc>
        <w:tc>
          <w:tcPr>
            <w:tcW w:w="231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408</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407,8</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-200</w:t>
            </w:r>
          </w:p>
        </w:tc>
      </w:tr>
      <w:tr>
        <w:trPr/>
        <w:tc>
          <w:tcPr>
            <w:tcW w:w="81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5</w:t>
            </w:r>
          </w:p>
        </w:tc>
        <w:tc>
          <w:tcPr>
            <w:tcW w:w="3119" w:type="dxa"/>
            <w:tcBorders/>
          </w:tcPr>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Лесные земли, в том числе:</w:t>
            </w:r>
          </w:p>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-покрытые лесом</w:t>
            </w:r>
          </w:p>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-гари</w:t>
            </w:r>
          </w:p>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-вырубки</w:t>
            </w:r>
          </w:p>
        </w:tc>
        <w:tc>
          <w:tcPr>
            <w:tcW w:w="231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13024,4</w:t>
            </w:r>
          </w:p>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12833,1</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13024</w:t>
            </w:r>
          </w:p>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12832,8</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-400</w:t>
            </w:r>
          </w:p>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-300</w:t>
            </w:r>
          </w:p>
        </w:tc>
      </w:tr>
      <w:tr>
        <w:trPr/>
        <w:tc>
          <w:tcPr>
            <w:tcW w:w="81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6</w:t>
            </w:r>
          </w:p>
        </w:tc>
        <w:tc>
          <w:tcPr>
            <w:tcW w:w="3119" w:type="dxa"/>
            <w:tcBorders/>
          </w:tcPr>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Земли застройки</w:t>
            </w:r>
          </w:p>
        </w:tc>
        <w:tc>
          <w:tcPr>
            <w:tcW w:w="231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108,7</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110,1</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+1400</w:t>
            </w:r>
          </w:p>
        </w:tc>
      </w:tr>
      <w:tr>
        <w:trPr/>
        <w:tc>
          <w:tcPr>
            <w:tcW w:w="81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7</w:t>
            </w:r>
          </w:p>
        </w:tc>
        <w:tc>
          <w:tcPr>
            <w:tcW w:w="3119" w:type="dxa"/>
            <w:tcBorders/>
          </w:tcPr>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Земли под дорогами, коммуникациями, улицами,площадями</w:t>
            </w:r>
          </w:p>
        </w:tc>
        <w:tc>
          <w:tcPr>
            <w:tcW w:w="231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101,6</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101,4</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-200</w:t>
            </w:r>
          </w:p>
        </w:tc>
      </w:tr>
      <w:tr>
        <w:trPr/>
        <w:tc>
          <w:tcPr>
            <w:tcW w:w="81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8</w:t>
            </w:r>
          </w:p>
        </w:tc>
        <w:tc>
          <w:tcPr>
            <w:tcW w:w="3119" w:type="dxa"/>
            <w:tcBorders/>
          </w:tcPr>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Земли под водой</w:t>
            </w:r>
          </w:p>
        </w:tc>
        <w:tc>
          <w:tcPr>
            <w:tcW w:w="231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424,6</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424,6</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w:t>
            </w:r>
          </w:p>
        </w:tc>
      </w:tr>
      <w:tr>
        <w:trPr/>
        <w:tc>
          <w:tcPr>
            <w:tcW w:w="81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9</w:t>
            </w:r>
          </w:p>
        </w:tc>
        <w:tc>
          <w:tcPr>
            <w:tcW w:w="3119" w:type="dxa"/>
            <w:tcBorders/>
          </w:tcPr>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Болота</w:t>
            </w:r>
          </w:p>
        </w:tc>
        <w:tc>
          <w:tcPr>
            <w:tcW w:w="231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466,7</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466,7</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w:t>
            </w:r>
          </w:p>
        </w:tc>
      </w:tr>
      <w:tr>
        <w:trPr/>
        <w:tc>
          <w:tcPr>
            <w:tcW w:w="81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10</w:t>
            </w:r>
          </w:p>
        </w:tc>
        <w:tc>
          <w:tcPr>
            <w:tcW w:w="3119" w:type="dxa"/>
            <w:tcBorders/>
          </w:tcPr>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Нарушенные земли</w:t>
            </w:r>
          </w:p>
        </w:tc>
        <w:tc>
          <w:tcPr>
            <w:tcW w:w="231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17</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16,8</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-200</w:t>
            </w:r>
          </w:p>
        </w:tc>
      </w:tr>
      <w:tr>
        <w:trPr/>
        <w:tc>
          <w:tcPr>
            <w:tcW w:w="81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11</w:t>
            </w:r>
          </w:p>
        </w:tc>
        <w:tc>
          <w:tcPr>
            <w:tcW w:w="3119" w:type="dxa"/>
            <w:tcBorders/>
          </w:tcPr>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Залежь</w:t>
            </w:r>
          </w:p>
        </w:tc>
        <w:tc>
          <w:tcPr>
            <w:tcW w:w="231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61,3</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60,8</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-500</w:t>
            </w:r>
          </w:p>
        </w:tc>
      </w:tr>
      <w:tr>
        <w:trPr/>
        <w:tc>
          <w:tcPr>
            <w:tcW w:w="816"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12</w:t>
            </w:r>
          </w:p>
        </w:tc>
        <w:tc>
          <w:tcPr>
            <w:tcW w:w="3119" w:type="dxa"/>
            <w:tcBorders/>
          </w:tcPr>
          <w:p>
            <w:pPr>
              <w:pStyle w:val="Normal"/>
              <w:widowControl/>
              <w:spacing w:lineRule="auto" w:line="240" w:before="0" w:after="0"/>
              <w:jc w:val="left"/>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Прочие земли</w:t>
            </w:r>
          </w:p>
        </w:tc>
        <w:tc>
          <w:tcPr>
            <w:tcW w:w="2317"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262,4</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262,4</w:t>
            </w:r>
          </w:p>
        </w:tc>
        <w:tc>
          <w:tcPr>
            <w:tcW w:w="2084" w:type="dxa"/>
            <w:tcBorders/>
          </w:tcPr>
          <w:p>
            <w:pPr>
              <w:pStyle w:val="Normal"/>
              <w:widowControl/>
              <w:spacing w:lineRule="auto" w:line="240" w:before="0" w:after="0"/>
              <w:jc w:val="center"/>
              <w:rPr>
                <w:rFonts w:ascii="Times New Roman" w:hAnsi="Times New Roman" w:cs="Times New Roman"/>
                <w:bCs/>
                <w:sz w:val="24"/>
                <w:szCs w:val="24"/>
                <w:lang w:val="ru-RU"/>
              </w:rPr>
            </w:pPr>
            <w:r>
              <w:rPr>
                <w:rFonts w:eastAsia="" w:cs="Times New Roman" w:ascii="Times New Roman" w:hAnsi="Times New Roman"/>
                <w:bCs/>
                <w:kern w:val="0"/>
                <w:sz w:val="24"/>
                <w:szCs w:val="24"/>
                <w:lang w:val="ru-RU" w:eastAsia="en-US" w:bidi="en-US"/>
              </w:rPr>
              <w:t>0</w:t>
            </w:r>
          </w:p>
        </w:tc>
      </w:tr>
    </w:tbl>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w:t>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 xml:space="preserve">&lt;*&gt; Заполняется согласно </w:t>
      </w:r>
      <w:hyperlink r:id="rId151">
        <w:r>
          <w:rPr>
            <w:rFonts w:cs="Times New Roman" w:ascii="Times New Roman" w:hAnsi="Times New Roman"/>
            <w:sz w:val="24"/>
            <w:szCs w:val="24"/>
          </w:rPr>
          <w:t>форме</w:t>
        </w:r>
      </w:hyperlink>
      <w:r>
        <w:rPr>
          <w:rFonts w:cs="Times New Roman" w:ascii="Times New Roman" w:hAnsi="Times New Roman"/>
          <w:sz w:val="24"/>
          <w:szCs w:val="24"/>
        </w:rPr>
        <w:t xml:space="preserve"> федеральной статистической отчетности N 22-2.</w:t>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Содержание полей:</w:t>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показатели являются едиными для земель всех категорий, таблица заполняется отдельно по каждой категории земель и отдельно заполняется сводная по всем категориям земель;</w:t>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 xml:space="preserve">в </w:t>
      </w:r>
      <w:hyperlink r:id="rId152">
        <w:r>
          <w:rPr>
            <w:rFonts w:cs="Times New Roman" w:ascii="Times New Roman" w:hAnsi="Times New Roman"/>
            <w:sz w:val="24"/>
            <w:szCs w:val="24"/>
          </w:rPr>
          <w:t>графе 3</w:t>
        </w:r>
      </w:hyperlink>
      <w:r>
        <w:rPr>
          <w:rFonts w:cs="Times New Roman" w:ascii="Times New Roman" w:hAnsi="Times New Roman"/>
          <w:sz w:val="24"/>
          <w:szCs w:val="24"/>
        </w:rPr>
        <w:t xml:space="preserve"> указывается площадь угодий по состоянию на 1 января отчетного года;</w:t>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 xml:space="preserve">в </w:t>
      </w:r>
      <w:hyperlink r:id="rId153">
        <w:r>
          <w:rPr>
            <w:rFonts w:cs="Times New Roman" w:ascii="Times New Roman" w:hAnsi="Times New Roman"/>
            <w:sz w:val="24"/>
            <w:szCs w:val="24"/>
          </w:rPr>
          <w:t>графе 4</w:t>
        </w:r>
      </w:hyperlink>
      <w:r>
        <w:rPr>
          <w:rFonts w:cs="Times New Roman" w:ascii="Times New Roman" w:hAnsi="Times New Roman"/>
          <w:sz w:val="24"/>
          <w:szCs w:val="24"/>
        </w:rPr>
        <w:t xml:space="preserve"> - по состоянию на 1 января года, следующего за отчетным;</w:t>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 xml:space="preserve">в </w:t>
      </w:r>
      <w:hyperlink r:id="rId154">
        <w:r>
          <w:rPr>
            <w:rFonts w:cs="Times New Roman" w:ascii="Times New Roman" w:hAnsi="Times New Roman"/>
            <w:sz w:val="24"/>
            <w:szCs w:val="24"/>
          </w:rPr>
          <w:t>графе 5</w:t>
        </w:r>
      </w:hyperlink>
      <w:r>
        <w:rPr>
          <w:rFonts w:cs="Times New Roman" w:ascii="Times New Roman" w:hAnsi="Times New Roman"/>
          <w:sz w:val="24"/>
          <w:szCs w:val="24"/>
        </w:rPr>
        <w:t xml:space="preserve"> указывается разница площадей (+, -) между </w:t>
      </w:r>
      <w:hyperlink r:id="rId155">
        <w:r>
          <w:rPr>
            <w:rFonts w:cs="Times New Roman" w:ascii="Times New Roman" w:hAnsi="Times New Roman"/>
            <w:sz w:val="24"/>
            <w:szCs w:val="24"/>
          </w:rPr>
          <w:t>графами 4</w:t>
        </w:r>
      </w:hyperlink>
      <w:r>
        <w:rPr>
          <w:rFonts w:cs="Times New Roman" w:ascii="Times New Roman" w:hAnsi="Times New Roman"/>
          <w:sz w:val="24"/>
          <w:szCs w:val="24"/>
        </w:rPr>
        <w:t xml:space="preserve"> и </w:t>
      </w:r>
      <w:hyperlink r:id="rId156">
        <w:r>
          <w:rPr>
            <w:rFonts w:cs="Times New Roman" w:ascii="Times New Roman" w:hAnsi="Times New Roman"/>
            <w:sz w:val="24"/>
            <w:szCs w:val="24"/>
          </w:rPr>
          <w:t>3</w:t>
        </w:r>
      </w:hyperlink>
      <w:r>
        <w:rPr>
          <w:rFonts w:cs="Times New Roman" w:ascii="Times New Roman" w:hAnsi="Times New Roman"/>
          <w:sz w:val="24"/>
          <w:szCs w:val="24"/>
        </w:rPr>
        <w:t>.</w:t>
      </w:r>
    </w:p>
    <w:p>
      <w:pPr>
        <w:sectPr>
          <w:headerReference w:type="default" r:id="rId157"/>
          <w:footerReference w:type="default" r:id="rId158"/>
          <w:type w:val="nextPage"/>
          <w:pgSz w:w="11906" w:h="16838"/>
          <w:pgMar w:left="851" w:right="851" w:gutter="0" w:header="709" w:top="1134" w:footer="709" w:bottom="1134"/>
          <w:pgNumType w:fmt="decimal"/>
          <w:formProt w:val="false"/>
          <w:textDirection w:val="lrTb"/>
          <w:docGrid w:type="default" w:linePitch="299" w:charSpace="4096"/>
        </w:sectPr>
        <w:pStyle w:val="Normal"/>
        <w:spacing w:lineRule="auto" w:line="240" w:before="0" w:after="0"/>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jc w:val="right"/>
        <w:rPr>
          <w:rFonts w:ascii="Times New Roman" w:hAnsi="Times New Roman" w:cs="Times New Roman"/>
          <w:bCs/>
          <w:sz w:val="28"/>
          <w:szCs w:val="28"/>
        </w:rPr>
      </w:pPr>
      <w:r>
        <w:rPr>
          <w:rFonts w:cs="Times New Roman" w:ascii="Times New Roman" w:hAnsi="Times New Roman"/>
          <w:bCs/>
          <w:sz w:val="28"/>
          <w:szCs w:val="28"/>
        </w:rPr>
        <w:t>Приложение № 16</w:t>
      </w:r>
    </w:p>
    <w:p>
      <w:pPr>
        <w:pStyle w:val="Normal"/>
        <w:spacing w:lineRule="auto" w:line="240" w:before="0" w:after="0"/>
        <w:contextualSpacing/>
        <w:jc w:val="center"/>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contextualSpacing/>
        <w:jc w:val="center"/>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contextualSpacing/>
        <w:jc w:val="center"/>
        <w:rPr>
          <w:rFonts w:ascii="Times New Roman" w:hAnsi="Times New Roman" w:cs="Times New Roman"/>
          <w:b/>
          <w:b/>
          <w:bCs/>
          <w:sz w:val="24"/>
          <w:szCs w:val="24"/>
        </w:rPr>
      </w:pPr>
      <w:r>
        <w:rPr>
          <w:rFonts w:cs="Times New Roman" w:ascii="Times New Roman" w:hAnsi="Times New Roman"/>
          <w:b/>
          <w:bCs/>
          <w:sz w:val="24"/>
          <w:szCs w:val="24"/>
        </w:rPr>
        <w:t>Мониторинг состояния земель *</w:t>
      </w:r>
    </w:p>
    <w:p>
      <w:pPr>
        <w:pStyle w:val="Normal"/>
        <w:spacing w:lineRule="auto" w:line="240" w:before="0" w:after="0"/>
        <w:contextualSpacing/>
        <w:jc w:val="center"/>
        <w:rPr>
          <w:rFonts w:ascii="Times New Roman" w:hAnsi="Times New Roman" w:cs="Times New Roman"/>
          <w:b/>
          <w:b/>
          <w:bCs/>
          <w:sz w:val="24"/>
          <w:szCs w:val="24"/>
        </w:rPr>
      </w:pPr>
      <w:r>
        <w:rPr>
          <w:rFonts w:cs="Times New Roman" w:ascii="Times New Roman" w:hAnsi="Times New Roman"/>
          <w:b/>
          <w:bCs/>
          <w:sz w:val="24"/>
          <w:szCs w:val="24"/>
        </w:rPr>
        <w:t>(количественные показатели)</w:t>
      </w:r>
    </w:p>
    <w:p>
      <w:pPr>
        <w:pStyle w:val="Normal"/>
        <w:spacing w:lineRule="auto" w:line="240" w:before="0" w:after="0"/>
        <w:contextualSpacing/>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contextualSpacing/>
        <w:jc w:val="center"/>
        <w:rPr>
          <w:rFonts w:ascii="Times New Roman" w:hAnsi="Times New Roman" w:cs="Times New Roman"/>
          <w:b/>
          <w:b/>
          <w:bCs/>
          <w:sz w:val="24"/>
          <w:szCs w:val="24"/>
        </w:rPr>
      </w:pPr>
      <w:r>
        <w:rPr>
          <w:rFonts w:cs="Times New Roman" w:ascii="Times New Roman" w:hAnsi="Times New Roman"/>
          <w:b/>
          <w:bCs/>
          <w:sz w:val="24"/>
          <w:szCs w:val="24"/>
        </w:rPr>
        <w:t>Площади земельных участков по показателям</w:t>
      </w:r>
    </w:p>
    <w:p>
      <w:pPr>
        <w:pStyle w:val="Normal"/>
        <w:spacing w:lineRule="auto" w:line="240" w:before="0" w:after="0"/>
        <w:contextualSpacing/>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contextualSpacing/>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contextualSpacing/>
        <w:jc w:val="right"/>
        <w:rPr>
          <w:rFonts w:ascii="Times New Roman" w:hAnsi="Times New Roman" w:cs="Times New Roman"/>
          <w:bCs/>
          <w:sz w:val="24"/>
          <w:szCs w:val="24"/>
        </w:rPr>
      </w:pPr>
      <w:r>
        <w:rPr>
          <w:rFonts w:cs="Times New Roman" w:ascii="Times New Roman" w:hAnsi="Times New Roman"/>
          <w:bCs/>
          <w:sz w:val="24"/>
          <w:szCs w:val="24"/>
        </w:rPr>
        <w:t>По состоянию на 01.01.2017</w:t>
      </w:r>
    </w:p>
    <w:p>
      <w:pPr>
        <w:pStyle w:val="Normal"/>
        <w:spacing w:lineRule="auto" w:line="240" w:before="0" w:after="0"/>
        <w:contextualSpacing/>
        <w:jc w:val="right"/>
        <w:rPr>
          <w:rFonts w:ascii="Times New Roman" w:hAnsi="Times New Roman" w:cs="Times New Roman"/>
          <w:bCs/>
          <w:sz w:val="24"/>
          <w:szCs w:val="24"/>
        </w:rPr>
      </w:pPr>
      <w:r>
        <w:rPr>
          <w:rFonts w:cs="Times New Roman" w:ascii="Times New Roman" w:hAnsi="Times New Roman"/>
          <w:bCs/>
          <w:sz w:val="24"/>
          <w:szCs w:val="24"/>
        </w:rPr>
        <w:t>Площадь в тыс.га</w:t>
      </w:r>
    </w:p>
    <w:p>
      <w:pPr>
        <w:pStyle w:val="Normal"/>
        <w:spacing w:lineRule="auto" w:line="240" w:before="0" w:after="0"/>
        <w:contextualSpacing/>
        <w:jc w:val="right"/>
        <w:rPr>
          <w:rFonts w:ascii="Times New Roman" w:hAnsi="Times New Roman" w:cs="Times New Roman"/>
          <w:bCs/>
          <w:sz w:val="24"/>
          <w:szCs w:val="24"/>
        </w:rPr>
      </w:pPr>
      <w:r>
        <w:rPr>
          <w:rFonts w:cs="Times New Roman" w:ascii="Times New Roman" w:hAnsi="Times New Roman"/>
          <w:bCs/>
          <w:sz w:val="24"/>
          <w:szCs w:val="24"/>
        </w:rPr>
      </w:r>
    </w:p>
    <w:tbl>
      <w:tblPr>
        <w:tblW w:w="893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51"/>
        <w:gridCol w:w="6096"/>
        <w:gridCol w:w="1984"/>
      </w:tblGrid>
      <w:tr>
        <w:trPr>
          <w:trHeight w:val="300" w:hRule="atLeast"/>
        </w:trPr>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b/>
                <w:bCs/>
              </w:rPr>
              <w:t xml:space="preserve">№ </w:t>
            </w:r>
            <w:r>
              <w:rPr>
                <w:rFonts w:eastAsia="Times New Roman" w:cs="Times New Roman" w:ascii="Times New Roman" w:hAnsi="Times New Roman"/>
                <w:b/>
                <w:bCs/>
              </w:rPr>
              <w:t>п/п</w:t>
            </w:r>
          </w:p>
        </w:tc>
        <w:tc>
          <w:tcPr>
            <w:tcW w:w="609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b/>
                <w:bCs/>
              </w:rPr>
              <w:t>Наименование показателя</w:t>
            </w:r>
          </w:p>
        </w:tc>
        <w:tc>
          <w:tcPr>
            <w:tcW w:w="198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rPr>
            </w:pPr>
            <w:r>
              <w:rPr>
                <w:rFonts w:eastAsia="Times New Roman" w:cs="Times New Roman" w:ascii="Times New Roman" w:hAnsi="Times New Roman"/>
                <w:b/>
                <w:bCs/>
              </w:rPr>
              <w:t>Площадь, всего</w:t>
            </w:r>
          </w:p>
        </w:tc>
      </w:tr>
      <w:tr>
        <w:trPr>
          <w:trHeight w:val="240" w:hRule="atLeast"/>
        </w:trPr>
        <w:tc>
          <w:tcPr>
            <w:tcW w:w="85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8"/>
                <w:szCs w:val="18"/>
              </w:rPr>
            </w:pPr>
            <w:r>
              <w:rPr>
                <w:rFonts w:eastAsia="Times New Roman" w:cs="Times New Roman" w:ascii="Times New Roman" w:hAnsi="Times New Roman"/>
                <w:b/>
                <w:bCs/>
                <w:sz w:val="18"/>
                <w:szCs w:val="18"/>
              </w:rPr>
              <w:t>1</w:t>
            </w:r>
          </w:p>
        </w:tc>
        <w:tc>
          <w:tcPr>
            <w:tcW w:w="609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8"/>
                <w:szCs w:val="18"/>
              </w:rPr>
            </w:pPr>
            <w:r>
              <w:rPr>
                <w:rFonts w:eastAsia="Times New Roman" w:cs="Times New Roman" w:ascii="Times New Roman" w:hAnsi="Times New Roman"/>
                <w:b/>
                <w:bCs/>
                <w:sz w:val="18"/>
                <w:szCs w:val="18"/>
              </w:rPr>
              <w:t>2</w:t>
            </w:r>
          </w:p>
        </w:tc>
        <w:tc>
          <w:tcPr>
            <w:tcW w:w="198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8"/>
                <w:szCs w:val="18"/>
              </w:rPr>
            </w:pPr>
            <w:r>
              <w:rPr>
                <w:rFonts w:eastAsia="Times New Roman" w:cs="Times New Roman" w:ascii="Times New Roman" w:hAnsi="Times New Roman"/>
                <w:b/>
                <w:bCs/>
                <w:sz w:val="18"/>
                <w:szCs w:val="18"/>
              </w:rPr>
              <w:t>3</w:t>
            </w:r>
          </w:p>
        </w:tc>
      </w:tr>
      <w:tr>
        <w:trPr>
          <w:trHeight w:val="1200" w:hRule="atLeast"/>
        </w:trPr>
        <w:tc>
          <w:tcPr>
            <w:tcW w:w="85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rPr>
              <w:t>1.</w:t>
            </w:r>
          </w:p>
        </w:tc>
        <w:tc>
          <w:tcPr>
            <w:tcW w:w="6096"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rPr>
              <w:t>Общая площадь земельных участков общего пользования, внесенных в государственный кадастр недвижимости, занятых улично-дорожной сетью, коммуникациями, скверами, парками, городскими лесами (для земель населенных пунктов)**</w:t>
            </w:r>
          </w:p>
        </w:tc>
        <w:tc>
          <w:tcPr>
            <w:tcW w:w="198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8,43</w:t>
            </w:r>
          </w:p>
        </w:tc>
      </w:tr>
      <w:tr>
        <w:trPr>
          <w:trHeight w:val="1500" w:hRule="atLeast"/>
        </w:trPr>
        <w:tc>
          <w:tcPr>
            <w:tcW w:w="85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rPr>
              <w:t>2.</w:t>
            </w:r>
          </w:p>
        </w:tc>
        <w:tc>
          <w:tcPr>
            <w:tcW w:w="6096"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rPr>
              <w:t>Общая площадь санитарно-защитных и охранных зон объектов, внесенных в государственный кадастр недвижимости, расположенных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иного специального назначения***</w:t>
            </w:r>
          </w:p>
        </w:tc>
        <w:tc>
          <w:tcPr>
            <w:tcW w:w="198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71,50</w:t>
            </w:r>
          </w:p>
        </w:tc>
      </w:tr>
      <w:tr>
        <w:trPr>
          <w:trHeight w:val="900" w:hRule="atLeast"/>
        </w:trPr>
        <w:tc>
          <w:tcPr>
            <w:tcW w:w="85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rPr>
              <w:t>3.</w:t>
            </w:r>
          </w:p>
        </w:tc>
        <w:tc>
          <w:tcPr>
            <w:tcW w:w="6096"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rPr>
              <w:t>Общая площадь учтенных в государственном кадастре недвижимости санитарно-защитных и охранных зон объектов, расположенных на землях особо охраняемых территорий и объектов****</w:t>
            </w:r>
          </w:p>
        </w:tc>
        <w:tc>
          <w:tcPr>
            <w:tcW w:w="198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rPr>
            </w:pPr>
            <w:r>
              <w:rPr>
                <w:rFonts w:eastAsia="Times New Roman" w:cs="Times New Roman" w:ascii="Times New Roman" w:hAnsi="Times New Roman"/>
                <w:color w:val="000000"/>
              </w:rPr>
              <w:t>74,50</w:t>
            </w:r>
          </w:p>
        </w:tc>
      </w:tr>
    </w:tbl>
    <w:p>
      <w:pPr>
        <w:pStyle w:val="Normal"/>
        <w:spacing w:lineRule="auto" w:line="240" w:before="0" w:after="0"/>
        <w:contextualSpacing/>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w:t>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&lt;*&gt; Заполняется на субъект Российской Федерации в целом.</w:t>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 xml:space="preserve">&lt;**&gt; Заполняется по сведениям ГКН об общей площади земельных участков с категорией земель "земли населенных пунктов" и видами использования: "Для общего пользования (уличная сеть)"; "Для размещения внутрихозяйственных дорог и коммуникаций"; "Для размещения коммуникаций"; "Для обустройства и содержания коммуникаций"; "Для размещения скверов, парков, городских садов" (в соответствии с классификатором, утвержденным </w:t>
      </w:r>
      <w:hyperlink r:id="rId159">
        <w:r>
          <w:rPr>
            <w:rFonts w:cs="Times New Roman" w:ascii="Times New Roman" w:hAnsi="Times New Roman"/>
            <w:sz w:val="24"/>
            <w:szCs w:val="24"/>
          </w:rPr>
          <w:t>приказом</w:t>
        </w:r>
      </w:hyperlink>
      <w:r>
        <w:rPr>
          <w:rFonts w:cs="Times New Roman" w:ascii="Times New Roman" w:hAnsi="Times New Roman"/>
          <w:sz w:val="24"/>
          <w:szCs w:val="24"/>
        </w:rPr>
        <w:t xml:space="preserve"> Росреестра от 12.10.2011 N 389).</w:t>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 xml:space="preserve">&lt;***&gt; Заполняется по сведениям ГКН об общей площади земельных участков с категорией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расположенных в санитарно-защитных и охранных зонах, в соответствии с </w:t>
      </w:r>
      <w:hyperlink r:id="rId160">
        <w:r>
          <w:rPr>
            <w:rFonts w:cs="Times New Roman" w:ascii="Times New Roman" w:hAnsi="Times New Roman"/>
            <w:sz w:val="24"/>
            <w:szCs w:val="24"/>
          </w:rPr>
          <w:t>кодом 218.2</w:t>
        </w:r>
      </w:hyperlink>
      <w:r>
        <w:rPr>
          <w:rFonts w:cs="Times New Roman" w:ascii="Times New Roman" w:hAnsi="Times New Roman"/>
          <w:sz w:val="24"/>
          <w:szCs w:val="24"/>
        </w:rPr>
        <w:t xml:space="preserve"> классификатора, утвержденного приказом Росреестра от 12.10.2011 N 389.</w:t>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 xml:space="preserve">&lt;****&gt; Заполняется по сведениям ГКН о площади земельных участков с категорией "Земли особо охраняемых территорий и объектов", расположенных в санитарно-защитных и охранных зонах, в соответствии с </w:t>
      </w:r>
      <w:hyperlink r:id="rId161">
        <w:r>
          <w:rPr>
            <w:rFonts w:cs="Times New Roman" w:ascii="Times New Roman" w:hAnsi="Times New Roman"/>
            <w:sz w:val="24"/>
            <w:szCs w:val="24"/>
          </w:rPr>
          <w:t>кодом 218.2</w:t>
        </w:r>
      </w:hyperlink>
      <w:r>
        <w:rPr>
          <w:rFonts w:cs="Times New Roman" w:ascii="Times New Roman" w:hAnsi="Times New Roman"/>
          <w:sz w:val="24"/>
          <w:szCs w:val="24"/>
        </w:rPr>
        <w:t xml:space="preserve"> классификатора, утвержденного приказом Росреестра от 12.10.2011 N 389.</w:t>
      </w:r>
    </w:p>
    <w:p>
      <w:pPr>
        <w:pStyle w:val="Normal"/>
        <w:spacing w:lineRule="auto" w:line="240" w:before="0" w:after="0"/>
        <w:contextualSpacing/>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t>Приложение№ 17</w:t>
      </w:r>
    </w:p>
    <w:p>
      <w:pPr>
        <w:pStyle w:val="Normal"/>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Мониторинг состояния земель</w:t>
      </w:r>
    </w:p>
    <w:p>
      <w:pPr>
        <w:pStyle w:val="Normal"/>
        <w:spacing w:lineRule="auto" w:line="240" w:before="0" w:after="0"/>
        <w:contextualSpacing/>
        <w:jc w:val="center"/>
        <w:rPr>
          <w:rFonts w:ascii="Times New Roman" w:hAnsi="Times New Roman" w:cs="Times New Roman"/>
          <w:b/>
          <w:b/>
          <w:bCs/>
          <w:sz w:val="24"/>
          <w:szCs w:val="24"/>
        </w:rPr>
      </w:pPr>
      <w:r>
        <w:rPr>
          <w:rFonts w:cs="Times New Roman" w:ascii="Times New Roman" w:hAnsi="Times New Roman"/>
          <w:b/>
          <w:sz w:val="24"/>
          <w:szCs w:val="24"/>
        </w:rPr>
        <w:t>(качественные показатели)</w:t>
      </w:r>
    </w:p>
    <w:p>
      <w:pPr>
        <w:pStyle w:val="Normal"/>
        <w:spacing w:lineRule="auto" w:line="240" w:before="0" w:after="0"/>
        <w:contextualSpacing/>
        <w:jc w:val="center"/>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ind w:left="180" w:firstLine="900"/>
        <w:contextualSpacing/>
        <w:jc w:val="center"/>
        <w:rPr>
          <w:rFonts w:ascii="Times New Roman" w:hAnsi="Times New Roman"/>
          <w:b/>
          <w:b/>
        </w:rPr>
      </w:pPr>
      <w:r>
        <w:rPr>
          <w:rFonts w:ascii="Times New Roman" w:hAnsi="Times New Roman"/>
          <w:b/>
          <w:sz w:val="24"/>
          <w:szCs w:val="24"/>
        </w:rPr>
        <w:t>Состояние земель по развитию и распространению негативных процессов в разрезе категорий земель п</w:t>
      </w:r>
      <w:r>
        <w:rPr>
          <w:rFonts w:ascii="Times New Roman" w:hAnsi="Times New Roman"/>
          <w:b/>
        </w:rPr>
        <w:t>о состоянию на 01.01.2017</w:t>
      </w:r>
    </w:p>
    <w:tbl>
      <w:tblPr>
        <w:tblW w:w="9577" w:type="dxa"/>
        <w:jc w:val="left"/>
        <w:tblInd w:w="170" w:type="dxa"/>
        <w:tblLayout w:type="fixed"/>
        <w:tblCellMar>
          <w:top w:w="0" w:type="dxa"/>
          <w:left w:w="108" w:type="dxa"/>
          <w:bottom w:w="0" w:type="dxa"/>
          <w:right w:w="108" w:type="dxa"/>
        </w:tblCellMar>
        <w:tblLook w:val="01e0" w:noHBand="0" w:noVBand="0" w:firstColumn="1" w:lastRow="1" w:lastColumn="1" w:firstRow="1"/>
      </w:tblPr>
      <w:tblGrid>
        <w:gridCol w:w="647"/>
        <w:gridCol w:w="1619"/>
        <w:gridCol w:w="2520"/>
        <w:gridCol w:w="2161"/>
        <w:gridCol w:w="788"/>
        <w:gridCol w:w="1841"/>
      </w:tblGrid>
      <w:tr>
        <w:trPr/>
        <w:tc>
          <w:tcPr>
            <w:tcW w:w="6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 xml:space="preserve">№ </w:t>
            </w:r>
            <w:r>
              <w:rPr>
                <w:rFonts w:eastAsia="Times New Roman" w:cs="Times New Roman" w:ascii="Times New Roman" w:hAnsi="Times New Roman"/>
                <w:b/>
                <w:sz w:val="20"/>
                <w:szCs w:val="20"/>
              </w:rPr>
              <w:t>п/п</w:t>
            </w:r>
          </w:p>
        </w:tc>
        <w:tc>
          <w:tcPr>
            <w:tcW w:w="1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81" w:right="-75" w:hanging="0"/>
              <w:jc w:val="center"/>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Характеристики земель по категориям</w:t>
            </w:r>
          </w:p>
        </w:tc>
        <w:tc>
          <w:tcPr>
            <w:tcW w:w="25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Наблюдаемый процесс</w:t>
            </w:r>
          </w:p>
        </w:tc>
        <w:tc>
          <w:tcPr>
            <w:tcW w:w="21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Степень развития процесса</w:t>
            </w:r>
          </w:p>
        </w:tc>
        <w:tc>
          <w:tcPr>
            <w:tcW w:w="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Площадь (тыс. га)</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 xml:space="preserve">Источники информации </w:t>
            </w:r>
            <w:r>
              <w:rPr>
                <w:rFonts w:eastAsia="Times New Roman" w:cs="Times New Roman" w:ascii="Times New Roman" w:hAnsi="Times New Roman"/>
                <w:b/>
                <w:sz w:val="20"/>
                <w:szCs w:val="20"/>
                <w:vertAlign w:val="superscript"/>
              </w:rPr>
              <w:t>*</w:t>
            </w:r>
          </w:p>
        </w:tc>
      </w:tr>
      <w:tr>
        <w:trPr/>
        <w:tc>
          <w:tcPr>
            <w:tcW w:w="6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w:t>
            </w:r>
          </w:p>
        </w:tc>
        <w:tc>
          <w:tcPr>
            <w:tcW w:w="161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b/>
                <w:i/>
                <w:sz w:val="20"/>
                <w:szCs w:val="20"/>
              </w:rPr>
              <w:t>Всего земель</w:t>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Радиоактивное загрязнение (годовая эффективная доза - м</w:t>
            </w:r>
            <w:r>
              <w:rPr>
                <w:rFonts w:eastAsia="Times New Roman" w:cs="Times New Roman" w:ascii="Times New Roman" w:hAnsi="Times New Roman"/>
                <w:sz w:val="20"/>
                <w:szCs w:val="20"/>
                <w:vertAlign w:val="superscript"/>
              </w:rPr>
              <w:t>З</w:t>
            </w:r>
            <w:r>
              <w:rPr>
                <w:rFonts w:eastAsia="Times New Roman" w:cs="Times New Roman" w:ascii="Times New Roman" w:hAnsi="Times New Roman"/>
                <w:sz w:val="20"/>
                <w:szCs w:val="20"/>
              </w:rPr>
              <w:t>в)</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подвергшихся радиоактивному загрязнению</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 – 5</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5 – 20</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20 – 50</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en-US"/>
              </w:rPr>
              <w:t xml:space="preserve">&gt; </w:t>
            </w:r>
            <w:r>
              <w:rPr>
                <w:rFonts w:eastAsia="Times New Roman" w:cs="Times New Roman" w:ascii="Times New Roman" w:hAnsi="Times New Roman"/>
                <w:sz w:val="20"/>
                <w:szCs w:val="20"/>
              </w:rPr>
              <w:t>5</w:t>
            </w:r>
            <w:r>
              <w:rPr>
                <w:rFonts w:eastAsia="Times New Roman" w:cs="Times New Roman" w:ascii="Times New Roman" w:hAnsi="Times New Roman"/>
                <w:sz w:val="20"/>
                <w:szCs w:val="20"/>
                <w:lang w:val="en-US"/>
              </w:rPr>
              <w:t>0</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Загрязнение химическими веществами и соединениями, из них:</w:t>
            </w:r>
          </w:p>
          <w:p>
            <w:pPr>
              <w:pStyle w:val="Normal"/>
              <w:widowControl w:val="false"/>
              <w:numPr>
                <w:ilvl w:val="0"/>
                <w:numId w:val="3"/>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тяжелыми металлами</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numPr>
                <w:ilvl w:val="0"/>
                <w:numId w:val="3"/>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диоксинами и диоксиноподобными токсантами</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numPr>
                <w:ilvl w:val="0"/>
                <w:numId w:val="3"/>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нефтью и нефтепродуктами</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numPr>
                <w:ilvl w:val="0"/>
                <w:numId w:val="3"/>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средствами химизации с/х</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78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57.02</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ascii="Times New Roman" w:hAnsi="Times New Roman"/>
                <w:sz w:val="20"/>
                <w:szCs w:val="20"/>
              </w:rPr>
              <w:t xml:space="preserve">Аккредитованная лаборатория ФГБУ «Приморская межобластная ветеринарная лаборатория», </w:t>
            </w:r>
            <w:r>
              <w:rPr>
                <w:rFonts w:eastAsia="Times New Roman" w:cs="Times New Roman" w:ascii="Times New Roman" w:hAnsi="Times New Roman"/>
                <w:sz w:val="20"/>
                <w:szCs w:val="20"/>
              </w:rPr>
              <w:t>ФГБУ «Приморское УГМС»</w:t>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7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7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56.69</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56.69</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0.33</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0.33</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Эрозия:</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водная,</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ветровая,</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линейная</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эродированных</w:t>
            </w:r>
          </w:p>
        </w:tc>
        <w:tc>
          <w:tcPr>
            <w:tcW w:w="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619.45</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Матариалы ГФДЗ Управления</w:t>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456.45</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163</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Очень 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Подтопление</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подтопленных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Опустынивание</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опустыненных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Очень 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Захламление</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захламленных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0.23</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Управление Россельхознадзора по Приморскому краю и Сахалинской области</w:t>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0.23</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1.1.</w:t>
            </w:r>
          </w:p>
        </w:tc>
        <w:tc>
          <w:tcPr>
            <w:tcW w:w="161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i/>
                <w:i/>
                <w:sz w:val="20"/>
                <w:szCs w:val="20"/>
              </w:rPr>
            </w:pPr>
            <w:r>
              <w:rPr>
                <w:rFonts w:eastAsia="Times New Roman" w:cs="Times New Roman" w:ascii="Times New Roman" w:hAnsi="Times New Roman"/>
                <w:b/>
                <w:i/>
                <w:sz w:val="20"/>
                <w:szCs w:val="20"/>
              </w:rPr>
              <w:t>Из них:</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Земли сельскохозяйственного назначения</w:t>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Радиоактивное загрязнение (годовая эффективная доза - м</w:t>
            </w:r>
            <w:r>
              <w:rPr>
                <w:rFonts w:eastAsia="Times New Roman" w:cs="Times New Roman" w:ascii="Times New Roman" w:hAnsi="Times New Roman"/>
                <w:sz w:val="20"/>
                <w:szCs w:val="20"/>
                <w:vertAlign w:val="superscript"/>
              </w:rPr>
              <w:t>З</w:t>
            </w:r>
            <w:r>
              <w:rPr>
                <w:rFonts w:eastAsia="Times New Roman" w:cs="Times New Roman" w:ascii="Times New Roman" w:hAnsi="Times New Roman"/>
                <w:sz w:val="20"/>
                <w:szCs w:val="20"/>
              </w:rPr>
              <w:t>в)</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подвергшихся радиоактивному загрязнению</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 – 5</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5 – 20</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20 – 50</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en-US"/>
              </w:rPr>
              <w:t xml:space="preserve">&gt; </w:t>
            </w:r>
            <w:r>
              <w:rPr>
                <w:rFonts w:eastAsia="Times New Roman" w:cs="Times New Roman" w:ascii="Times New Roman" w:hAnsi="Times New Roman"/>
                <w:sz w:val="20"/>
                <w:szCs w:val="20"/>
              </w:rPr>
              <w:t>5</w:t>
            </w:r>
            <w:r>
              <w:rPr>
                <w:rFonts w:eastAsia="Times New Roman" w:cs="Times New Roman" w:ascii="Times New Roman" w:hAnsi="Times New Roman"/>
                <w:sz w:val="20"/>
                <w:szCs w:val="20"/>
                <w:lang w:val="en-US"/>
              </w:rPr>
              <w:t>0</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Загрязнение химическими веществами и соединениями, из них:</w:t>
            </w:r>
          </w:p>
          <w:p>
            <w:pPr>
              <w:pStyle w:val="Normal"/>
              <w:widowControl w:val="false"/>
              <w:numPr>
                <w:ilvl w:val="0"/>
                <w:numId w:val="11"/>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тяжелыми металлами</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numPr>
                <w:ilvl w:val="0"/>
                <w:numId w:val="12"/>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диоксинами и диоксиноподобными токсантами</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numPr>
                <w:ilvl w:val="0"/>
                <w:numId w:val="13"/>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нефтью и нефтепродуктами</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numPr>
                <w:ilvl w:val="0"/>
                <w:numId w:val="14"/>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средствами химизации с/х</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78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cs="Times New Roman" w:ascii="Times New Roman" w:hAnsi="Times New Roman"/>
                <w:sz w:val="20"/>
                <w:szCs w:val="20"/>
              </w:rPr>
              <w:t>0.</w:t>
            </w:r>
            <w:r>
              <w:rPr>
                <w:rFonts w:cs="Times New Roman" w:ascii="Times New Roman" w:hAnsi="Times New Roman"/>
                <w:sz w:val="20"/>
                <w:szCs w:val="20"/>
                <w:lang w:val="en-US"/>
              </w:rPr>
              <w:t>87</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auto" w:line="240" w:before="0" w:after="0"/>
              <w:contextualSpacing/>
              <w:jc w:val="center"/>
              <w:rPr>
                <w:rFonts w:ascii="Times New Roman" w:hAnsi="Times New Roman" w:eastAsia="Times New Roman" w:cs="Times New Roman"/>
                <w:sz w:val="20"/>
                <w:szCs w:val="20"/>
                <w:lang w:val="ru-RU"/>
              </w:rPr>
            </w:pPr>
            <w:r>
              <w:rPr>
                <w:rFonts w:ascii="Times New Roman" w:hAnsi="Times New Roman"/>
                <w:sz w:val="20"/>
                <w:szCs w:val="20"/>
                <w:lang w:val="ru-RU"/>
              </w:rPr>
              <w:t>Аккредитованная лаборатория ФГБУ «Приморская межобластная ветеринарная лаборатория»</w:t>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7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7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bookmarkStart w:id="576" w:name="_Hlk107048946"/>
            <w:bookmarkStart w:id="577" w:name="_Hlk107048946"/>
            <w:bookmarkEnd w:id="577"/>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0.</w:t>
            </w:r>
            <w:r>
              <w:rPr>
                <w:rFonts w:eastAsia="Times New Roman" w:cs="Times New Roman" w:ascii="Times New Roman" w:hAnsi="Times New Roman"/>
                <w:sz w:val="20"/>
                <w:szCs w:val="20"/>
                <w:lang w:val="en-US"/>
              </w:rPr>
              <w:t>54</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bookmarkStart w:id="578" w:name="_Hlk107048946"/>
            <w:bookmarkStart w:id="579" w:name="_Hlk107048946"/>
            <w:bookmarkEnd w:id="579"/>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cs="Times New Roman" w:ascii="Times New Roman" w:hAnsi="Times New Roman"/>
                <w:sz w:val="20"/>
                <w:szCs w:val="20"/>
              </w:rPr>
              <w:t>0.</w:t>
            </w:r>
            <w:r>
              <w:rPr>
                <w:rFonts w:cs="Times New Roman" w:ascii="Times New Roman" w:hAnsi="Times New Roman"/>
                <w:sz w:val="20"/>
                <w:szCs w:val="20"/>
                <w:lang w:val="en-US"/>
              </w:rPr>
              <w:t>54</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0.</w:t>
            </w:r>
            <w:r>
              <w:rPr>
                <w:rFonts w:eastAsia="Times New Roman" w:cs="Times New Roman" w:ascii="Times New Roman" w:hAnsi="Times New Roman"/>
                <w:sz w:val="20"/>
                <w:szCs w:val="20"/>
                <w:lang w:val="en-US"/>
              </w:rPr>
              <w:t>33</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cs="Times New Roman" w:ascii="Times New Roman" w:hAnsi="Times New Roman"/>
                <w:sz w:val="20"/>
                <w:szCs w:val="20"/>
              </w:rPr>
              <w:t>0.</w:t>
            </w:r>
            <w:r>
              <w:rPr>
                <w:rFonts w:cs="Times New Roman" w:ascii="Times New Roman" w:hAnsi="Times New Roman"/>
                <w:sz w:val="20"/>
                <w:szCs w:val="20"/>
                <w:lang w:val="en-US"/>
              </w:rPr>
              <w:t>33</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Эрозия:</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водная,</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ветровая,</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линейная</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эродированных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t>619.42</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Матариалы ГФДЗ Управления</w:t>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456.42</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163</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Очень 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Подтопление</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подтопленных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Опустынивание</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опустыненных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Очень 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Захламление</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захламленных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0.23</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Управление Россельхознадзора по Приморскому краю и Сахалинской области</w:t>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0.23</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1.2.</w:t>
            </w:r>
          </w:p>
        </w:tc>
        <w:tc>
          <w:tcPr>
            <w:tcW w:w="161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Земли населенных пунктов</w:t>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Радиоактивное загрязнение (годовая эффективная доза - м</w:t>
            </w:r>
            <w:r>
              <w:rPr>
                <w:rFonts w:eastAsia="Times New Roman" w:cs="Times New Roman" w:ascii="Times New Roman" w:hAnsi="Times New Roman"/>
                <w:sz w:val="20"/>
                <w:szCs w:val="20"/>
                <w:vertAlign w:val="superscript"/>
              </w:rPr>
              <w:t>З</w:t>
            </w:r>
            <w:r>
              <w:rPr>
                <w:rFonts w:eastAsia="Times New Roman" w:cs="Times New Roman" w:ascii="Times New Roman" w:hAnsi="Times New Roman"/>
                <w:sz w:val="20"/>
                <w:szCs w:val="20"/>
              </w:rPr>
              <w:t>в)</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подвергшихся радиоактивному загрязнению</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 – 5</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5 – 20</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20 – 50</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en-US"/>
              </w:rPr>
              <w:t xml:space="preserve">&gt; </w:t>
            </w:r>
            <w:r>
              <w:rPr>
                <w:rFonts w:eastAsia="Times New Roman" w:cs="Times New Roman" w:ascii="Times New Roman" w:hAnsi="Times New Roman"/>
                <w:sz w:val="20"/>
                <w:szCs w:val="20"/>
              </w:rPr>
              <w:t>5</w:t>
            </w:r>
            <w:r>
              <w:rPr>
                <w:rFonts w:eastAsia="Times New Roman" w:cs="Times New Roman" w:ascii="Times New Roman" w:hAnsi="Times New Roman"/>
                <w:sz w:val="20"/>
                <w:szCs w:val="20"/>
                <w:lang w:val="en-US"/>
              </w:rPr>
              <w:t>0</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Загрязнение химическими веществами и соединениями, из них:</w:t>
            </w:r>
          </w:p>
          <w:p>
            <w:pPr>
              <w:pStyle w:val="Normal"/>
              <w:widowControl w:val="false"/>
              <w:numPr>
                <w:ilvl w:val="0"/>
                <w:numId w:val="15"/>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тяжелыми металлами</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numPr>
                <w:ilvl w:val="0"/>
                <w:numId w:val="16"/>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диоксинами и диоксиноподобными токсантами</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numPr>
                <w:ilvl w:val="0"/>
                <w:numId w:val="17"/>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нефтью и нефтепродуктами</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numPr>
                <w:ilvl w:val="0"/>
                <w:numId w:val="18"/>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средствами химизации с/х</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ФГБУ «Приморское УГМС»</w:t>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56.15</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56.15</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Эрозия:</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водная,</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ветровая,</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линейная</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эродированных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0.01</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Матариалы ГФДЗ Управления</w:t>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0.01</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Очень 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Подтопление</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подтопленных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Опустынивание</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опустыненных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Очень 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Захламление</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захламленных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1.3.</w:t>
            </w:r>
          </w:p>
        </w:tc>
        <w:tc>
          <w:tcPr>
            <w:tcW w:w="161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Земли промышленности, энергетики, транспорта, связи, радиовещания, телевидения, информатики, для обеспечения космической деятельности, обороны, безопасности, иного специального назначения</w:t>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Радиоактивное загрязнение (годовая эффективная доза - м</w:t>
            </w:r>
            <w:r>
              <w:rPr>
                <w:rFonts w:eastAsia="Times New Roman" w:cs="Times New Roman" w:ascii="Times New Roman" w:hAnsi="Times New Roman"/>
                <w:sz w:val="20"/>
                <w:szCs w:val="20"/>
                <w:vertAlign w:val="superscript"/>
              </w:rPr>
              <w:t>З</w:t>
            </w:r>
            <w:r>
              <w:rPr>
                <w:rFonts w:eastAsia="Times New Roman" w:cs="Times New Roman" w:ascii="Times New Roman" w:hAnsi="Times New Roman"/>
                <w:sz w:val="20"/>
                <w:szCs w:val="20"/>
              </w:rPr>
              <w:t>в)</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подвергшихся радиоактивному загрязнению</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 – 5</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5 – 20</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20 – 50</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en-US"/>
              </w:rPr>
              <w:t xml:space="preserve">&gt; </w:t>
            </w:r>
            <w:r>
              <w:rPr>
                <w:rFonts w:eastAsia="Times New Roman" w:cs="Times New Roman" w:ascii="Times New Roman" w:hAnsi="Times New Roman"/>
                <w:sz w:val="20"/>
                <w:szCs w:val="20"/>
              </w:rPr>
              <w:t>5</w:t>
            </w:r>
            <w:r>
              <w:rPr>
                <w:rFonts w:eastAsia="Times New Roman" w:cs="Times New Roman" w:ascii="Times New Roman" w:hAnsi="Times New Roman"/>
                <w:sz w:val="20"/>
                <w:szCs w:val="20"/>
                <w:lang w:val="en-US"/>
              </w:rPr>
              <w:t>0</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Загрязнение химическими веществами и соединениями, из них:</w:t>
            </w:r>
          </w:p>
          <w:p>
            <w:pPr>
              <w:pStyle w:val="Normal"/>
              <w:widowControl w:val="false"/>
              <w:numPr>
                <w:ilvl w:val="0"/>
                <w:numId w:val="19"/>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тяжелыми металлами</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numPr>
                <w:ilvl w:val="0"/>
                <w:numId w:val="20"/>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диоксинами и диоксиноподобными токсантами</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numPr>
                <w:ilvl w:val="0"/>
                <w:numId w:val="21"/>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нефтью и нефтепродуктами</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numPr>
                <w:ilvl w:val="0"/>
                <w:numId w:val="22"/>
              </w:numPr>
              <w:tabs>
                <w:tab w:val="clear" w:pos="708"/>
                <w:tab w:val="left" w:pos="331" w:leader="none"/>
              </w:tabs>
              <w:spacing w:lineRule="auto" w:line="240" w:before="0" w:after="0"/>
              <w:ind w:left="331" w:hanging="331"/>
              <w:rPr>
                <w:rFonts w:ascii="Times New Roman" w:hAnsi="Times New Roman" w:eastAsia="Times New Roman" w:cs="Times New Roman"/>
                <w:sz w:val="20"/>
                <w:szCs w:val="20"/>
              </w:rPr>
            </w:pPr>
            <w:r>
              <w:rPr>
                <w:rFonts w:eastAsia="Times New Roman" w:cs="Times New Roman" w:ascii="Times New Roman" w:hAnsi="Times New Roman"/>
                <w:sz w:val="20"/>
                <w:szCs w:val="20"/>
              </w:rPr>
              <w:t>средствами химизации с/х</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i/>
                <w:sz w:val="20"/>
                <w:szCs w:val="20"/>
              </w:rPr>
              <w:t>Всего загрязненных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Умеренно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Высоко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Чрезвычайно опасная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Эрозия:</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водная,</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ветровая,</w:t>
            </w:r>
          </w:p>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линейная</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эродированных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0.02</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Материалы ГФДЗ Управления</w:t>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0.02</w:t>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Очень 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Подтопление</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подтопленных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Опустынивание</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опустыненных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Очень 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Захламление</w:t>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i/>
                <w:i/>
                <w:sz w:val="20"/>
                <w:szCs w:val="20"/>
              </w:rPr>
            </w:pPr>
            <w:r>
              <w:rPr>
                <w:rFonts w:eastAsia="Times New Roman" w:cs="Times New Roman" w:ascii="Times New Roman" w:hAnsi="Times New Roman"/>
                <w:i/>
                <w:sz w:val="20"/>
                <w:szCs w:val="20"/>
              </w:rPr>
              <w:t>Всего захламленных</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Слабая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Средняя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6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5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21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Сильная</w:t>
            </w:r>
          </w:p>
        </w:tc>
        <w:tc>
          <w:tcPr>
            <w:tcW w:w="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84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bl>
    <w:p>
      <w:pPr>
        <w:pStyle w:val="Normal"/>
        <w:spacing w:lineRule="auto" w:line="240" w:before="0" w:after="0"/>
        <w:contextualSpacing/>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w:t>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&lt;*&gt; Таблица является единой для всех уровней сбора информации. В таблице отображается совокупная экспликация земель как на муниципальном уровне, так и на уровне субъекта Российской Федерации в целом.</w:t>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 xml:space="preserve">В </w:t>
      </w:r>
      <w:hyperlink r:id="rId162">
        <w:r>
          <w:rPr>
            <w:rFonts w:cs="Times New Roman" w:ascii="Times New Roman" w:hAnsi="Times New Roman"/>
            <w:sz w:val="24"/>
            <w:szCs w:val="24"/>
          </w:rPr>
          <w:t>графе 6</w:t>
        </w:r>
      </w:hyperlink>
      <w:r>
        <w:rPr>
          <w:rFonts w:cs="Times New Roman" w:ascii="Times New Roman" w:hAnsi="Times New Roman"/>
          <w:sz w:val="24"/>
          <w:szCs w:val="24"/>
        </w:rPr>
        <w:t xml:space="preserve"> указываются материалы (картографические, материалы ДЗ, ответы на запросы и пр.), послужившие источниками информации при заполнении данной таблицы.</w:t>
      </w:r>
    </w:p>
    <w:p>
      <w:p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В этой же графе указываются наименование и масштаб картографических материалов, на которых отображаются контуры земельных угодий, подверженных данному негативному воздействию и подлежащих оценке.</w:t>
      </w:r>
    </w:p>
    <w:p>
      <w:pPr>
        <w:sectPr>
          <w:headerReference w:type="default" r:id="rId164"/>
          <w:footerReference w:type="default" r:id="rId165"/>
          <w:type w:val="nextPage"/>
          <w:pgSz w:w="11906" w:h="16838"/>
          <w:pgMar w:left="1701" w:right="851" w:gutter="0" w:header="709" w:top="1134" w:footer="709" w:bottom="1134"/>
          <w:pgNumType w:fmt="decimal"/>
          <w:formProt w:val="false"/>
          <w:textDirection w:val="lrTb"/>
          <w:docGrid w:type="default" w:linePitch="299" w:charSpace="4096"/>
        </w:sectPr>
        <w:pStyle w:val="Normal"/>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 xml:space="preserve">Сведения о состоянии земель сельскохозяйственного назначения </w:t>
      </w:r>
      <w:hyperlink r:id="rId163">
        <w:r>
          <w:rPr>
            <w:rFonts w:cs="Times New Roman" w:ascii="Times New Roman" w:hAnsi="Times New Roman"/>
            <w:sz w:val="24"/>
            <w:szCs w:val="24"/>
          </w:rPr>
          <w:t>(подраздел 1.1)</w:t>
        </w:r>
      </w:hyperlink>
      <w:r>
        <w:rPr>
          <w:rFonts w:cs="Times New Roman" w:ascii="Times New Roman" w:hAnsi="Times New Roman"/>
          <w:sz w:val="24"/>
          <w:szCs w:val="24"/>
        </w:rPr>
        <w:t xml:space="preserve"> вносятся при условии их наличия, заполнение не является обязательным.</w:t>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contextualSpacing/>
        <w:jc w:val="right"/>
        <w:rPr>
          <w:rFonts w:ascii="Times New Roman" w:hAnsi="Times New Roman" w:cs="Times New Roman"/>
          <w:bCs/>
          <w:sz w:val="28"/>
          <w:szCs w:val="28"/>
        </w:rPr>
      </w:pPr>
      <w:r>
        <w:rPr>
          <w:rFonts w:cs="Times New Roman" w:ascii="Times New Roman" w:hAnsi="Times New Roman"/>
          <w:bCs/>
          <w:sz w:val="28"/>
          <w:szCs w:val="28"/>
        </w:rPr>
        <w:t>Приложение  № 18</w:t>
      </w:r>
    </w:p>
    <w:p>
      <w:pPr>
        <w:pStyle w:val="Normal"/>
        <w:spacing w:lineRule="auto" w:line="240" w:before="0" w:after="0"/>
        <w:contextualSpacing/>
        <w:jc w:val="center"/>
        <w:rPr>
          <w:b/>
          <w:b/>
          <w:bCs/>
          <w:sz w:val="28"/>
          <w:szCs w:val="28"/>
        </w:rPr>
      </w:pPr>
      <w:r>
        <w:rPr>
          <w:b/>
          <w:bCs/>
          <w:sz w:val="28"/>
          <w:szCs w:val="28"/>
        </w:rPr>
      </w:r>
    </w:p>
    <w:p>
      <w:pPr>
        <w:pStyle w:val="Normal"/>
        <w:spacing w:before="0" w:after="200"/>
        <w:contextualSpacing/>
        <w:jc w:val="center"/>
        <w:rPr>
          <w:rFonts w:ascii="Times New Roman" w:hAnsi="Times New Roman" w:cs="Times New Roman"/>
          <w:b/>
          <w:b/>
          <w:sz w:val="24"/>
          <w:szCs w:val="24"/>
        </w:rPr>
      </w:pPr>
      <w:r>
        <w:rPr>
          <w:rFonts w:cs="Times New Roman" w:ascii="Times New Roman" w:hAnsi="Times New Roman"/>
          <w:b/>
          <w:sz w:val="24"/>
          <w:szCs w:val="24"/>
        </w:rPr>
        <w:t>Удельные показатели кадастровой стоимости земель населенных пунктов по видам функционального использования</w:t>
      </w:r>
    </w:p>
    <w:p>
      <w:pPr>
        <w:pStyle w:val="Normal"/>
        <w:spacing w:before="0" w:after="200"/>
        <w:contextualSpacing/>
        <w:jc w:val="center"/>
        <w:rPr>
          <w:rFonts w:ascii="Times New Roman" w:hAnsi="Times New Roman" w:cs="Times New Roman"/>
          <w:b/>
          <w:b/>
          <w:bCs/>
          <w:sz w:val="24"/>
          <w:szCs w:val="24"/>
        </w:rPr>
      </w:pPr>
      <w:r>
        <w:rPr>
          <w:rFonts w:cs="Times New Roman" w:ascii="Times New Roman" w:hAnsi="Times New Roman"/>
          <w:b/>
          <w:bCs/>
          <w:sz w:val="24"/>
          <w:szCs w:val="24"/>
        </w:rPr>
      </w:r>
    </w:p>
    <w:tbl>
      <w:tblPr>
        <w:tblW w:w="15593" w:type="dxa"/>
        <w:jc w:val="left"/>
        <w:tblInd w:w="-34" w:type="dxa"/>
        <w:tblLayout w:type="fixed"/>
        <w:tblCellMar>
          <w:top w:w="0" w:type="dxa"/>
          <w:left w:w="108" w:type="dxa"/>
          <w:bottom w:w="0" w:type="dxa"/>
          <w:right w:w="108" w:type="dxa"/>
        </w:tblCellMar>
        <w:tblLook w:val="04a0" w:noHBand="0" w:noVBand="1" w:firstColumn="1" w:lastRow="0" w:lastColumn="0" w:firstRow="1"/>
      </w:tblPr>
      <w:tblGrid>
        <w:gridCol w:w="425"/>
        <w:gridCol w:w="1700"/>
        <w:gridCol w:w="1985"/>
        <w:gridCol w:w="851"/>
        <w:gridCol w:w="850"/>
        <w:gridCol w:w="850"/>
        <w:gridCol w:w="709"/>
        <w:gridCol w:w="850"/>
        <w:gridCol w:w="852"/>
        <w:gridCol w:w="849"/>
        <w:gridCol w:w="710"/>
        <w:gridCol w:w="850"/>
        <w:gridCol w:w="709"/>
        <w:gridCol w:w="708"/>
        <w:gridCol w:w="710"/>
        <w:gridCol w:w="567"/>
        <w:gridCol w:w="566"/>
        <w:gridCol w:w="848"/>
      </w:tblGrid>
      <w:tr>
        <w:trPr>
          <w:trHeight w:val="264" w:hRule="atLeast"/>
        </w:trPr>
        <w:tc>
          <w:tcPr>
            <w:tcW w:w="425"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 xml:space="preserve">№ </w:t>
            </w:r>
            <w:r>
              <w:rPr>
                <w:rFonts w:eastAsia="Times New Roman" w:cs="Times New Roman" w:ascii="Times New Roman" w:hAnsi="Times New Roman"/>
                <w:sz w:val="18"/>
                <w:szCs w:val="18"/>
              </w:rPr>
              <w:t>п/п</w:t>
            </w:r>
          </w:p>
        </w:tc>
        <w:tc>
          <w:tcPr>
            <w:tcW w:w="1700"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Наименование муниципального района, городского округа</w:t>
            </w:r>
          </w:p>
        </w:tc>
        <w:tc>
          <w:tcPr>
            <w:tcW w:w="1985"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Показатель</w:t>
            </w:r>
          </w:p>
        </w:tc>
        <w:tc>
          <w:tcPr>
            <w:tcW w:w="11479" w:type="dxa"/>
            <w:gridSpan w:val="15"/>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УПКСЗ по видам разрешенного использования</w:t>
            </w:r>
          </w:p>
        </w:tc>
      </w:tr>
      <w:tr>
        <w:trPr>
          <w:trHeight w:val="312" w:hRule="atLeast"/>
        </w:trPr>
        <w:tc>
          <w:tcPr>
            <w:tcW w:w="4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w:t>
            </w:r>
          </w:p>
        </w:tc>
        <w:tc>
          <w:tcPr>
            <w:tcW w:w="56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w:t>
            </w:r>
          </w:p>
        </w:tc>
        <w:tc>
          <w:tcPr>
            <w:tcW w:w="56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w:t>
            </w:r>
          </w:p>
        </w:tc>
        <w:tc>
          <w:tcPr>
            <w:tcW w:w="84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w:t>
            </w:r>
          </w:p>
        </w:tc>
      </w:tr>
      <w:tr>
        <w:trPr>
          <w:trHeight w:val="312" w:hRule="atLeast"/>
        </w:trPr>
        <w:tc>
          <w:tcPr>
            <w:tcW w:w="42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w:t>
            </w:r>
          </w:p>
        </w:tc>
        <w:tc>
          <w:tcPr>
            <w:tcW w:w="17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right="-107"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w:t>
            </w:r>
          </w:p>
        </w:tc>
        <w:tc>
          <w:tcPr>
            <w:tcW w:w="56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w:t>
            </w:r>
          </w:p>
        </w:tc>
        <w:tc>
          <w:tcPr>
            <w:tcW w:w="56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20</w:t>
            </w:r>
          </w:p>
        </w:tc>
        <w:tc>
          <w:tcPr>
            <w:tcW w:w="84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w:t>
            </w:r>
          </w:p>
        </w:tc>
      </w:tr>
      <w:tr>
        <w:trPr>
          <w:trHeight w:val="217"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Анучинский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204.00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44.33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268.08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23.73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275.96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313.34</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315.80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85.53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365.05</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70.77</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1.68</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259.17</w:t>
            </w:r>
          </w:p>
        </w:tc>
      </w:tr>
      <w:tr>
        <w:trPr>
          <w:trHeight w:val="44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411.09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70.84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9" w:right="-107"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651.32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27.34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497.50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614.97</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315.80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180.50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365.05</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124.64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1.68</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463.54</w:t>
            </w:r>
          </w:p>
        </w:tc>
      </w:tr>
      <w:tr>
        <w:trPr>
          <w:trHeight w:val="214"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427.48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136.86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752.46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65.76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851.97</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924.03</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315.80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261.45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365.05</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218.48</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1.68</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790.85</w:t>
            </w:r>
          </w:p>
        </w:tc>
      </w:tr>
      <w:tr>
        <w:trPr>
          <w:trHeight w:val="259"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2</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Дальнереченский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35" w:right="-81"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247.72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44.31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297.99</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21.43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280.75</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84.65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126.19</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71.99</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256.05</w:t>
            </w:r>
          </w:p>
        </w:tc>
      </w:tr>
      <w:tr>
        <w:trPr>
          <w:trHeight w:val="47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247.72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58.47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428.43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23.04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383.34</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115.98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127.68</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95.53</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362.84</w:t>
            </w:r>
          </w:p>
        </w:tc>
      </w:tr>
      <w:tr>
        <w:trPr>
          <w:trHeight w:val="213"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247.72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79.31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436.05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28.78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493.71</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151.51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133.18</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126.61</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458.30</w:t>
            </w:r>
          </w:p>
        </w:tc>
      </w:tr>
      <w:tr>
        <w:trPr>
          <w:trHeight w:val="104"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3</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Кавалеровский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291.70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47.62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275.56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24.08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303.41</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9" w:right="-107"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945.27</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321.51</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93.11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401.72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76.02</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0.72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275.17</w:t>
            </w:r>
          </w:p>
        </w:tc>
      </w:tr>
      <w:tr>
        <w:trPr>
          <w:trHeight w:val="481"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782.90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146.86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1 253.24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51.37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1 291.29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945.27</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1 394.32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313.78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401.78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165.80</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0.72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1 175.78</w:t>
            </w:r>
          </w:p>
        </w:tc>
      </w:tr>
      <w:tr>
        <w:trPr>
          <w:trHeight w:val="227"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860.90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242.34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1 444.41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76.22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1 655.57</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945.27</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1 655.57</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483.59</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483.59</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387.42</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0.72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1 655.57</w:t>
            </w:r>
          </w:p>
        </w:tc>
      </w:tr>
      <w:tr>
        <w:trPr>
          <w:trHeight w:val="132"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4</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Кировский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173.57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44.12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688.71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21.52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298.24</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9"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1 787.57</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302.41</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103.70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88.70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140.62</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177.88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70.43</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258.82</w:t>
            </w:r>
          </w:p>
        </w:tc>
      </w:tr>
      <w:tr>
        <w:trPr>
          <w:trHeight w:val="46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859.02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73.55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728.99</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30.36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1 335.86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9"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2 087.21</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1 212.22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1 424.13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146.84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140.62</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177.88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120.89</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923.76</w:t>
            </w:r>
          </w:p>
        </w:tc>
      </w:tr>
      <w:tr>
        <w:trPr>
          <w:trHeight w:val="114"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35"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1 152.41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116.92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750.36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67.05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2 216.17</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2 335.95</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2 216.17</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1 772.33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177.88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140.62</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177.88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153.77</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2 216.17</w:t>
            </w:r>
          </w:p>
        </w:tc>
      </w:tr>
      <w:tr>
        <w:trPr>
          <w:trHeight w:val="159"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5</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Красноармейский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198.11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44.04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264.01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21.54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307.96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566.64</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300.04</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102.23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64.75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128.08</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64.75</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1.10</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259.05</w:t>
            </w:r>
          </w:p>
        </w:tc>
      </w:tr>
      <w:tr>
        <w:trPr>
          <w:trHeight w:val="485"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305.50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80.31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617.10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23.57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601.66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566.64</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487.48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106.26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166.36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128.08</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113.01</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1.10</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500.54</w:t>
            </w:r>
          </w:p>
        </w:tc>
      </w:tr>
      <w:tr>
        <w:trPr>
          <w:trHeight w:val="141"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392.19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125.56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743.46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57.60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781.62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566.64</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847.74</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190.26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239.86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128.08</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200.44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1.10</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725.55</w:t>
            </w:r>
          </w:p>
        </w:tc>
      </w:tr>
      <w:tr>
        <w:trPr>
          <w:trHeight w:val="187"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6</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Лазовский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198.72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44.02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260.99</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21.19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287.79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224.38</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369.99</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49.06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88.32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169.70</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70.40</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0.56</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254.83</w:t>
            </w:r>
          </w:p>
        </w:tc>
      </w:tr>
      <w:tr>
        <w:trPr>
          <w:trHeight w:val="487"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829.25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81.28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670.15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38.69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636.28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949.70</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1 234.00</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139.54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302.06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169.70</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192.35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213.36</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0.56</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555.52</w:t>
            </w:r>
          </w:p>
        </w:tc>
      </w:tr>
      <w:tr>
        <w:trPr>
          <w:trHeight w:val="238"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891.77</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123.90</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744.27</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55.48</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1 714.94</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1 047.10</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1 714.94</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266.44</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481.03</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169.70</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481.03</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 xml:space="preserve"> </w:t>
            </w:r>
            <w:r>
              <w:rPr>
                <w:rFonts w:eastAsia="Times New Roman" w:cs="Times New Roman" w:ascii="Times New Roman" w:hAnsi="Times New Roman"/>
                <w:sz w:val="18"/>
                <w:szCs w:val="18"/>
              </w:rPr>
              <w:t>307.97</w:t>
            </w:r>
          </w:p>
        </w:tc>
        <w:tc>
          <w:tcPr>
            <w:tcW w:w="56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0.56</w:t>
            </w:r>
          </w:p>
        </w:tc>
        <w:tc>
          <w:tcPr>
            <w:tcW w:w="84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1 714.94</w:t>
            </w:r>
          </w:p>
        </w:tc>
      </w:tr>
      <w:tr>
        <w:trPr>
          <w:trHeight w:val="188"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7</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Михайловский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472.18</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102.38</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722.30</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36.01</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872.88</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1 145.67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998.16</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51.97</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271.73</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 xml:space="preserve"> </w:t>
            </w: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225.24</w:t>
            </w:r>
          </w:p>
        </w:tc>
        <w:tc>
          <w:tcPr>
            <w:tcW w:w="56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2.13</w:t>
            </w:r>
          </w:p>
        </w:tc>
        <w:tc>
          <w:tcPr>
            <w:tcW w:w="84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815.35</w:t>
            </w:r>
          </w:p>
        </w:tc>
      </w:tr>
      <w:tr>
        <w:trPr>
          <w:trHeight w:val="475"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771.70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174.43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1 055.06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51.50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1 323.45</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1 145.67</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1 371.30</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401.63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443.91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194.05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391.44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2.13</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1 078.37</w:t>
            </w:r>
          </w:p>
        </w:tc>
      </w:tr>
      <w:tr>
        <w:trPr>
          <w:trHeight w:val="183"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866.44</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242.38</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1 332.61</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116.45</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1 666.22</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1 145.67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1 666.22</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559.28</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476.90</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 xml:space="preserve"> </w:t>
            </w: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463.14</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 xml:space="preserve"> </w:t>
            </w:r>
            <w:r>
              <w:rPr>
                <w:rFonts w:eastAsia="Times New Roman" w:cs="Times New Roman" w:ascii="Times New Roman" w:hAnsi="Times New Roman"/>
                <w:sz w:val="18"/>
                <w:szCs w:val="18"/>
              </w:rPr>
              <w:t>463.14</w:t>
            </w:r>
          </w:p>
        </w:tc>
        <w:tc>
          <w:tcPr>
            <w:tcW w:w="56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2.13</w:t>
            </w:r>
          </w:p>
        </w:tc>
        <w:tc>
          <w:tcPr>
            <w:tcW w:w="84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1 666.22</w:t>
            </w:r>
          </w:p>
        </w:tc>
      </w:tr>
      <w:tr>
        <w:trPr>
          <w:trHeight w:val="229"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8</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Надеждинский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751.20</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232.70</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1 324.47</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111.80</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1 482.13</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1 598.92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1 622.28</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554.44</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450.50</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641.49</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 xml:space="preserve"> </w:t>
            </w: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373.03</w:t>
            </w:r>
          </w:p>
        </w:tc>
        <w:tc>
          <w:tcPr>
            <w:tcW w:w="56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0.75</w:t>
            </w:r>
          </w:p>
        </w:tc>
        <w:tc>
          <w:tcPr>
            <w:tcW w:w="84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1 375.82</w:t>
            </w:r>
          </w:p>
        </w:tc>
      </w:tr>
      <w:tr>
        <w:trPr>
          <w:trHeight w:val="420"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35"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1 145.50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361.82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2 378.40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163.08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2 547.08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1 761.92</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2 403.30</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618.88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729.74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643.13</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539.56</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0.75</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2 226.26</w:t>
            </w:r>
          </w:p>
        </w:tc>
      </w:tr>
      <w:tr>
        <w:trPr>
          <w:trHeight w:val="226"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35"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1 701.65</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544.79</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2 995.26</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261.75</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3 391.37</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2 250.92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3 678.23</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righ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1 257.08</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1 040.73</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644.77</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 xml:space="preserve"> </w:t>
            </w: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869.67</w:t>
            </w:r>
          </w:p>
        </w:tc>
        <w:tc>
          <w:tcPr>
            <w:tcW w:w="56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0.75</w:t>
            </w:r>
          </w:p>
        </w:tc>
        <w:tc>
          <w:tcPr>
            <w:tcW w:w="84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3 148.10</w:t>
            </w:r>
          </w:p>
        </w:tc>
      </w:tr>
      <w:tr>
        <w:trPr>
          <w:trHeight w:val="129"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9</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Октябрьский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453.59</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102.36</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718.39</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39.20</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875.25</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1 145.67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964.61</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329.67</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267.56</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 xml:space="preserve"> </w:t>
            </w: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224.45</w:t>
            </w:r>
          </w:p>
        </w:tc>
        <w:tc>
          <w:tcPr>
            <w:tcW w:w="56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 xml:space="preserve"> </w:t>
            </w: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2.00</w:t>
            </w:r>
          </w:p>
        </w:tc>
        <w:tc>
          <w:tcPr>
            <w:tcW w:w="84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809.34</w:t>
            </w:r>
          </w:p>
        </w:tc>
      </w:tr>
      <w:tr>
        <w:trPr>
          <w:trHeight w:val="44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722.64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176.76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1 059.83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93.54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1 287.11</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1 145.67</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1 376.55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501.76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391.55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183.28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365.07</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2.00</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1 319.58</w:t>
            </w:r>
          </w:p>
        </w:tc>
      </w:tr>
      <w:tr>
        <w:trPr>
          <w:trHeight w:val="136"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757.07</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242.38</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1 332.61</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116.45</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1 508.84</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1 145.67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1 636.46</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559.28</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463.03</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 xml:space="preserve"> </w:t>
            </w: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441.90</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441.90</w:t>
            </w:r>
          </w:p>
        </w:tc>
        <w:tc>
          <w:tcPr>
            <w:tcW w:w="56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 xml:space="preserve"> </w:t>
            </w: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2.00</w:t>
            </w:r>
          </w:p>
        </w:tc>
        <w:tc>
          <w:tcPr>
            <w:tcW w:w="84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1 400.60</w:t>
            </w:r>
          </w:p>
        </w:tc>
      </w:tr>
      <w:tr>
        <w:trPr>
          <w:trHeight w:val="183"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10</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Ольгинский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916.53</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44.06</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253.13</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21.29</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277.95</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1 096.60</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306.32</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48.03</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84.65</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 xml:space="preserve"> </w:t>
            </w: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485.30</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70.73</w:t>
            </w:r>
          </w:p>
        </w:tc>
        <w:tc>
          <w:tcPr>
            <w:tcW w:w="56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0.90</w:t>
            </w:r>
          </w:p>
        </w:tc>
        <w:tc>
          <w:tcPr>
            <w:tcW w:w="84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256.05</w:t>
            </w:r>
          </w:p>
        </w:tc>
      </w:tr>
      <w:tr>
        <w:trPr>
          <w:trHeight w:val="465"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917.70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71.29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476.97</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29.14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1 196.27</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1 096.60</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684.95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103.24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209.18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485.30</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145.69</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0.90</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632.70</w:t>
            </w:r>
          </w:p>
        </w:tc>
      </w:tr>
      <w:tr>
        <w:trPr>
          <w:trHeight w:val="177"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917.86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110.17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747.41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43.22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1 856.39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1 096.60</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1 856.39</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195.52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485.30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485.30</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398.45</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0.90</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1 856.39</w:t>
            </w:r>
          </w:p>
        </w:tc>
      </w:tr>
      <w:tr>
        <w:trPr>
          <w:trHeight w:val="223"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11</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Партизанский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140.99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45.14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304.26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21.69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292.58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1 629.92</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304.77</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320.83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105.72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72.06</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1.08</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260.84</w:t>
            </w:r>
          </w:p>
        </w:tc>
      </w:tr>
      <w:tr>
        <w:trPr>
          <w:trHeight w:val="481"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682.52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191.56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1 300.39</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93.12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1 354.94</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1 629.92</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1 386.94</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733.17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462.08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272.68</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1.08</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1 532.93</w:t>
            </w:r>
          </w:p>
        </w:tc>
      </w:tr>
      <w:tr>
        <w:trPr>
          <w:trHeight w:val="192"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757.07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344.83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1 895.88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165.68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2 146.60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1 629.92</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1 636.46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795.68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658.74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550.47</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1.08</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1 992.62</w:t>
            </w:r>
          </w:p>
        </w:tc>
      </w:tr>
      <w:tr>
        <w:trPr>
          <w:trHeight w:val="237"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12</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Пограничный МР</w:t>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213.33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45.12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251.64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21.68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296.31</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1 784.20</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304.63</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448.77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97.52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182.18</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435.72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72.03</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1.33</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275.06</w:t>
            </w:r>
          </w:p>
        </w:tc>
      </w:tr>
      <w:tr>
        <w:trPr>
          <w:trHeight w:val="483"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681.72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121.80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1 298.74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49.92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1 217.70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1 849.22</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840.77</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448.77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404.92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182.18</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435.78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240.11</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1.33</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886.11</w:t>
            </w:r>
          </w:p>
        </w:tc>
      </w:tr>
      <w:tr>
        <w:trPr>
          <w:trHeight w:val="21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746.20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183.81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1 411.93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71.13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1 435.00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1 929.39</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1 435.00</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448.77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456.62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182.18</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456.62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417.60</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1.33</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1 435.00</w:t>
            </w:r>
          </w:p>
        </w:tc>
      </w:tr>
      <w:tr>
        <w:trPr>
          <w:trHeight w:val="124"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13</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Пожарский МР</w:t>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170.82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44.15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295.57</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21.29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281.81</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1 015.25</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369.25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112.28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91.16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484.28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70.73</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1.34</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261.59</w:t>
            </w:r>
          </w:p>
        </w:tc>
      </w:tr>
      <w:tr>
        <w:trPr>
          <w:trHeight w:val="136"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768.24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82.66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1 342.34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45.59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1 396.89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1 051.55</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1 226.00</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146.05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172.23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484.28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161.54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1.34</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1 054.29</w:t>
            </w:r>
          </w:p>
        </w:tc>
      </w:tr>
      <w:tr>
        <w:trPr>
          <w:trHeight w:val="247"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908.71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242.76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1 436.46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89.11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1 747.52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1 101.56</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1 747.52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193.77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487.05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484.28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370.53</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1.34</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1 747.52</w:t>
            </w:r>
          </w:p>
        </w:tc>
      </w:tr>
      <w:tr>
        <w:trPr>
          <w:trHeight w:val="137"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14</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Спасский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164.61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44.23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265.39</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21.93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284.11</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324.62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118.47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91.26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70.61</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1.85</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263.73</w:t>
            </w:r>
          </w:p>
        </w:tc>
      </w:tr>
      <w:tr>
        <w:trPr>
          <w:trHeight w:val="35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283.43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76.27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601.91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45.79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544.14</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790.41</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119.83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177.37</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95.47</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1.85</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531.74</w:t>
            </w:r>
          </w:p>
        </w:tc>
      </w:tr>
      <w:tr>
        <w:trPr>
          <w:trHeight w:val="134"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386.28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148.05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813.98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71.13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921.63</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999.58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121.60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282.83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236.34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1.85</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855.51</w:t>
            </w:r>
          </w:p>
        </w:tc>
      </w:tr>
      <w:tr>
        <w:trPr>
          <w:trHeight w:val="179"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15</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Тернейский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152.96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44.37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320.59</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28.67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302.17</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709.74</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330.22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84.76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130.46</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76.32</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1.59</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276.27</w:t>
            </w:r>
          </w:p>
        </w:tc>
      </w:tr>
      <w:tr>
        <w:trPr>
          <w:trHeight w:val="375"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630.63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68.75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713.76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33.18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1 092.68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795.16</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1 109.25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152.24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130.46</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139.45</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1.59</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1 056.67</w:t>
            </w:r>
          </w:p>
        </w:tc>
      </w:tr>
      <w:tr>
        <w:trPr>
          <w:trHeight w:val="18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783.18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97.33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735.67</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42.26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1 506.12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893.73</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1 506.12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169.01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130.46</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169.01</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1.59</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1 506.12</w:t>
            </w:r>
          </w:p>
        </w:tc>
      </w:tr>
      <w:tr>
        <w:trPr>
          <w:trHeight w:val="222"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16</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Ханкайский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817.73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44.15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296.01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22.24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308.89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335.02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124.23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91.52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71.04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1.77</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268.30</w:t>
            </w:r>
          </w:p>
        </w:tc>
      </w:tr>
      <w:tr>
        <w:trPr>
          <w:trHeight w:val="391"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817.73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134.22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1 059.03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122.08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1 424.73</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958.61</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281.70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378.50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364.67</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1.77</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961.66</w:t>
            </w:r>
          </w:p>
        </w:tc>
      </w:tr>
      <w:tr>
        <w:trPr>
          <w:trHeight w:val="231"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817.73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261.80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1 439.38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125.79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1 629.73</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1 767.58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604.09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500.13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417.92</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1.77</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1 512.82</w:t>
            </w:r>
          </w:p>
        </w:tc>
      </w:tr>
      <w:tr>
        <w:trPr>
          <w:trHeight w:val="122"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17</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Хасанский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173.57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44.02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369.16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13.40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341.38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620.59</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314.63</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50.21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84.34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358.79</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340.37</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70.27</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0.45</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269.28</w:t>
            </w:r>
          </w:p>
        </w:tc>
      </w:tr>
      <w:tr>
        <w:trPr>
          <w:trHeight w:val="420"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827.45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181.17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1 281.80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67.49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1 420.73</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890.02</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1 503.77</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152.36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666.31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429.01</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998.57</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283.95</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0.45</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1 321.32</w:t>
            </w:r>
          </w:p>
        </w:tc>
      </w:tr>
      <w:tr>
        <w:trPr>
          <w:trHeight w:val="118"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924.06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278.59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1 487.76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130.01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1 777.03</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1 089.38</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1 826.99</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624.40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801.08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499.23</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1 276.30</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779.50</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0.45</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1 777.03</w:t>
            </w:r>
          </w:p>
        </w:tc>
      </w:tr>
      <w:tr>
        <w:trPr>
          <w:trHeight w:val="163"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18</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Хорольский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199.87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45.60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381.73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24.46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283.86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1 096.06</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468.77</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112.55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90.86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72.79</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1.61</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266.62</w:t>
            </w:r>
          </w:p>
        </w:tc>
      </w:tr>
      <w:tr>
        <w:trPr>
          <w:trHeight w:val="44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420.20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105.85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913.50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54.71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1 399.76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1 100.32</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1 562.35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340.73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447.74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215.98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380.03</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1.61</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1 105.84</w:t>
            </w:r>
          </w:p>
        </w:tc>
      </w:tr>
      <w:tr>
        <w:trPr>
          <w:trHeight w:val="15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922.70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242.38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1 332.61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116.45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1 774.42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1 145.67</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1 774.42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559.28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484.13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484.13</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386.92</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1.61</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1 774.42</w:t>
            </w:r>
          </w:p>
        </w:tc>
      </w:tr>
      <w:tr>
        <w:trPr>
          <w:trHeight w:val="206"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19</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Черниговский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462.43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44.23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259.07</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firstLine="8"/>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23.28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325.45</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307.06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133.60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86.88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71.23</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1.89</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255.70</w:t>
            </w:r>
          </w:p>
        </w:tc>
      </w:tr>
      <w:tr>
        <w:trPr>
          <w:trHeight w:val="465"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659.23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103.73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768.17</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48.81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1 095.45</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654.69</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155.44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269.86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252.21</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1.89</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698.84</w:t>
            </w:r>
          </w:p>
        </w:tc>
      </w:tr>
      <w:tr>
        <w:trPr>
          <w:trHeight w:val="201"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745.39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148.05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813.98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71.13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1 433.44</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1 433.44</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341.62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452.99</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403.41</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1.89</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1 433.44</w:t>
            </w:r>
          </w:p>
        </w:tc>
      </w:tr>
      <w:tr>
        <w:trPr>
          <w:trHeight w:val="106"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20</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Чугуевский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155.96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44.17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274.52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22.54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279.20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699.79</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326.98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102.59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85.68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73.53</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1.26</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266.39</w:t>
            </w:r>
          </w:p>
        </w:tc>
      </w:tr>
      <w:tr>
        <w:trPr>
          <w:trHeight w:val="481"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418.81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83.06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704.95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29.84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569.07</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699.79</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870.29</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110.74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258.61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189.71</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1.26</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568.42</w:t>
            </w:r>
          </w:p>
        </w:tc>
      </w:tr>
      <w:tr>
        <w:trPr>
          <w:trHeight w:val="255"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462.43</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148.05</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813.98</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71.13</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921.63</w:t>
            </w:r>
          </w:p>
        </w:tc>
        <w:tc>
          <w:tcPr>
            <w:tcW w:w="85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699.79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999.58</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164.57</w:t>
            </w:r>
          </w:p>
        </w:tc>
        <w:tc>
          <w:tcPr>
            <w:tcW w:w="85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282.83</w:t>
            </w:r>
          </w:p>
        </w:tc>
        <w:tc>
          <w:tcPr>
            <w:tcW w:w="70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 xml:space="preserve"> </w:t>
            </w: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236.34</w:t>
            </w:r>
          </w:p>
        </w:tc>
        <w:tc>
          <w:tcPr>
            <w:tcW w:w="56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108" w:hanging="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1.26</w:t>
            </w:r>
          </w:p>
        </w:tc>
        <w:tc>
          <w:tcPr>
            <w:tcW w:w="84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 </w:t>
            </w:r>
            <w:r>
              <w:rPr>
                <w:rFonts w:eastAsia="Times New Roman" w:cs="Times New Roman" w:ascii="Times New Roman" w:hAnsi="Times New Roman"/>
                <w:sz w:val="18"/>
                <w:szCs w:val="18"/>
              </w:rPr>
              <w:t>855.51</w:t>
            </w:r>
          </w:p>
        </w:tc>
      </w:tr>
      <w:tr>
        <w:trPr>
          <w:trHeight w:val="260"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21</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Шкотовский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559.82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138.58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712.02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35.49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871.45</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800.19</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950.97</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54.86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267.43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235.17</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223.47</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1.05</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817.49</w:t>
            </w:r>
          </w:p>
        </w:tc>
      </w:tr>
      <w:tr>
        <w:trPr>
          <w:trHeight w:val="483"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718.05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183.81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821.95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71.86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1 498.73</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800.91</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1 020.62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308.69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354.85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320.72</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367.24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1.05</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1 127.76</w:t>
            </w:r>
          </w:p>
        </w:tc>
      </w:tr>
      <w:tr>
        <w:trPr>
          <w:trHeight w:val="19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895.35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277.98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1 035.06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90.45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2 615.16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847.17</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2 615.16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424.09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491.55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451.55</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460.14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1.05</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2 615.16</w:t>
            </w:r>
          </w:p>
        </w:tc>
      </w:tr>
      <w:tr>
        <w:trPr>
          <w:trHeight w:val="103"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22</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Яковлевский МР</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428.64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44.02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261.16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21.15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320.16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310.17</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109.60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88.28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73.34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1.46</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266.16</w:t>
            </w:r>
          </w:p>
        </w:tc>
      </w:tr>
      <w:tr>
        <w:trPr>
          <w:trHeight w:val="485"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428.64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89.75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738.68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59.72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477.73</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644.49</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137.78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175.38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152.98</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1.46</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650.79</w:t>
            </w:r>
          </w:p>
        </w:tc>
      </w:tr>
      <w:tr>
        <w:trPr>
          <w:trHeight w:val="228"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428.64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145.85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801.88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70.08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907.93</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984.73</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336.54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278.62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232.83</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1.46</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842.80</w:t>
            </w:r>
          </w:p>
        </w:tc>
      </w:tr>
      <w:tr>
        <w:trPr>
          <w:trHeight w:val="131"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23</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Город Владивосток</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562.51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158.23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1 437.84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76.02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1 121.08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1 236.14</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1 215.90</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71.65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344.03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928.21</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252.59</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0.09</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914.34</w:t>
            </w:r>
          </w:p>
        </w:tc>
      </w:tr>
      <w:tr>
        <w:trPr>
          <w:trHeight w:val="445"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35"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3 394.66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1 564.37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4 660.12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678.35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7 339.68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4 575.04</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7 307.18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632.50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2 956.27</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1 508.57</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2 795.92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1 728.25</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0.09</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6 188.27</w:t>
            </w:r>
          </w:p>
        </w:tc>
      </w:tr>
      <w:tr>
        <w:trPr>
          <w:trHeight w:val="26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35"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9 028.25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2 070.80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5 448.64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1 113.64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17 362.02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13 216.86</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17 362.02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2 463.68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3 737.53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1 963.53</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3 724.45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1 849.00</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0.09</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17 362.02</w:t>
            </w:r>
          </w:p>
        </w:tc>
      </w:tr>
      <w:tr>
        <w:trPr>
          <w:trHeight w:val="132"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24</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Город Арсеньев</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619.48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223.53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1 310.44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145.04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1 079.10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810.15</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1 359.01</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128.64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419.14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487.82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419.14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1.57</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1 186.51</w:t>
            </w:r>
          </w:p>
        </w:tc>
      </w:tr>
      <w:tr>
        <w:trPr>
          <w:trHeight w:val="48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932.13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242.69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1 397.96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158.91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1 617.02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886.97</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1 737.27</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149.74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449.85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487.82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419.14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1.57</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1 712.28</w:t>
            </w:r>
          </w:p>
        </w:tc>
      </w:tr>
      <w:tr>
        <w:trPr>
          <w:trHeight w:val="9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35"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1 188.81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293.47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1 454.25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225.82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2 286.17</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1 431.42</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2 099.50</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523.64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489.64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487.82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419.14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1.57</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2 286.17</w:t>
            </w:r>
          </w:p>
        </w:tc>
      </w:tr>
      <w:tr>
        <w:trPr>
          <w:trHeight w:val="145"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25</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Город Артем</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807.77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241.32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1 326.78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115.95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1 502.24</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1 440.20</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1 629.31</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284.73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461.00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335.55</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969.14</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385.23</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1.24</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1 394.48</w:t>
            </w:r>
          </w:p>
        </w:tc>
      </w:tr>
      <w:tr>
        <w:trPr>
          <w:trHeight w:val="34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35"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1 732.82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512.96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2 237.36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136.99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2 915.38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1 573.70</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2 988.43</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440.46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974.73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489.46</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969.14</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643.21</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1.24</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2 709.70</w:t>
            </w:r>
          </w:p>
        </w:tc>
      </w:tr>
      <w:tr>
        <w:trPr>
          <w:trHeight w:val="142"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35"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1 933.23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618.90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2 729.99</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269.55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3 717.75</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1 943.84</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3 717.75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1 159.04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1 294.95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1 950.28</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969.14</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923.73</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1.24</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3 717.75</w:t>
            </w:r>
          </w:p>
        </w:tc>
      </w:tr>
      <w:tr>
        <w:trPr>
          <w:trHeight w:val="187"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26</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Город Большой Камень</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587.19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158.68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1 164.67</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67.69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1 017.60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1 772.73</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1 017.60</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136.62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709.06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257.19</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436.16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577.19</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0.93</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1 017.60</w:t>
            </w:r>
          </w:p>
        </w:tc>
      </w:tr>
      <w:tr>
        <w:trPr>
          <w:trHeight w:val="517"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856.68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253.17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1 397.84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100.97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1 513.59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2 435.51</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1 464.33</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201.42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1 153.20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615.12</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436.16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907.89</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0.93</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1 533.95</w:t>
            </w:r>
          </w:p>
        </w:tc>
      </w:tr>
      <w:tr>
        <w:trPr>
          <w:trHeight w:val="128"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896.83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313.33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1 431.59</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128.19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1 724.68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2 446.11</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1 724.68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556.12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1 334.78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636.93</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436.16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978.25</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0.93</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1 724.68</w:t>
            </w:r>
          </w:p>
        </w:tc>
      </w:tr>
      <w:tr>
        <w:trPr>
          <w:trHeight w:val="173"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27</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Город Дальнегорск</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253.84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45.54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270.51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26.05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318.96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845.23</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772.73</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267.43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94.55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498.74</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178.66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73.64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0.82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287.96</w:t>
            </w:r>
          </w:p>
        </w:tc>
      </w:tr>
      <w:tr>
        <w:trPr>
          <w:trHeight w:val="416"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704.55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174.86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1 182.37</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57.26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1 199.88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845.23</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1 306.95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310.07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343.11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498.74</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369.72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315.53</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0.82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1 087.15</w:t>
            </w:r>
          </w:p>
        </w:tc>
      </w:tr>
      <w:tr>
        <w:trPr>
          <w:trHeight w:val="16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855.76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243.72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1 423.66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140.90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1 645.69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845.23</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1 645.69</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497.72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482.60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498.74</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467.43</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352.90</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0.82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1 645.69</w:t>
            </w:r>
          </w:p>
        </w:tc>
      </w:tr>
      <w:tr>
        <w:trPr>
          <w:trHeight w:val="216"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28</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Город Дальнереченск</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377.42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44.87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1 194.67</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19.12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758.29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782.51</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123.88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81.92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645.66</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326.09</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113.10</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341.69</w:t>
            </w:r>
          </w:p>
        </w:tc>
      </w:tr>
      <w:tr>
        <w:trPr>
          <w:trHeight w:val="447"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803.61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189.62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1 382.38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94.16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1 475.23</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1 623.25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123.88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357.15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645.66</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340.80</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265.65</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1 321.81</w:t>
            </w:r>
          </w:p>
        </w:tc>
      </w:tr>
      <w:tr>
        <w:trPr>
          <w:trHeight w:val="211"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1 013.25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262.39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1 452.96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123.50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1 948.56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1 948.56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123.88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487.58</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645.66</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481.61</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266.73</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1 948.56</w:t>
            </w:r>
          </w:p>
        </w:tc>
      </w:tr>
      <w:tr>
        <w:trPr>
          <w:trHeight w:val="115"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29</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Город Лесозаводск</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577.02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44.33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1 181.45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23.55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302.26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877.14</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380.59</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50.13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90.50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64.81</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275.00</w:t>
            </w:r>
          </w:p>
        </w:tc>
      </w:tr>
      <w:tr>
        <w:trPr>
          <w:trHeight w:val="321"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825.06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126.98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1 329.30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114.56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1 303.59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1 093.09</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1 534.50</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116.73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383.66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291.49</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1 041.43</w:t>
            </w:r>
          </w:p>
        </w:tc>
      </w:tr>
      <w:tr>
        <w:trPr>
          <w:trHeight w:val="254"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962.98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253.21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1 424.20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158.19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1 851.89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1 193.79</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1 851.89</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509.85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489.46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339.99</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1 851.89</w:t>
            </w:r>
          </w:p>
        </w:tc>
      </w:tr>
      <w:tr>
        <w:trPr>
          <w:trHeight w:val="129"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30</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Город Находка</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812.92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150.06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613.85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72.10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934.14</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2 399.78</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1 013.15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257.41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286.67</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335.56</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856.44</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239.55</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867.13</w:t>
            </w:r>
          </w:p>
        </w:tc>
      </w:tr>
      <w:tr>
        <w:trPr>
          <w:trHeight w:val="337"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1 703.78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442.85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2 558.00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276.86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3 194.82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3 305.64</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3 043.19</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278.52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1 461.56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772.74</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1 126.47</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1 275.50</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2 996.83</w:t>
            </w:r>
          </w:p>
        </w:tc>
      </w:tr>
      <w:tr>
        <w:trPr>
          <w:trHeight w:val="312"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2 408.24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510.38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2 796.10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362.92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4 694.13</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4 813.52</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4 631.23</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1 047.83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2 002.84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955.34</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1 201.74</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1 342.37</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4 694.13</w:t>
            </w:r>
          </w:p>
        </w:tc>
      </w:tr>
      <w:tr>
        <w:trPr>
          <w:trHeight w:val="391"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31</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Город Партизанск</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393.34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138.70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1 024.80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63.53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945.45</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580.73</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730.02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132.40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370.13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257.19</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292.35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208.09</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1.06</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675.12</w:t>
            </w:r>
          </w:p>
        </w:tc>
      </w:tr>
      <w:tr>
        <w:trPr>
          <w:trHeight w:val="353"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523.48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223.77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1 369.19</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109.63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1 312.60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796.21</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1 422.05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168.74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573.63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522.87</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292.35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379.35</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1.06</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1 181.81</w:t>
            </w:r>
          </w:p>
        </w:tc>
      </w:tr>
      <w:tr>
        <w:trPr>
          <w:trHeight w:val="305"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889.64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273.65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1 423.32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147.63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1 710.84</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1 066.48</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1 710.84</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538.96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805.51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875.66</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292.35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381.19</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1.06</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1 710.84</w:t>
            </w:r>
          </w:p>
        </w:tc>
      </w:tr>
      <w:tr>
        <w:trPr>
          <w:trHeight w:val="126"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32</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Город Спасск-Дальний</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659.13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230.49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1 202.17</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123.30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1 231.29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1 649.87</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1 194.65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181.91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399.10</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195.49</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399.10</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1.85</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1 200.79</w:t>
            </w:r>
          </w:p>
        </w:tc>
      </w:tr>
      <w:tr>
        <w:trPr>
          <w:trHeight w:val="36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782.29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251.92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1 332.72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135.36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1 484.14</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2 143.97</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1 669.11</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181.91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442.69</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195.52</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399.10</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1.85</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1 439.06</w:t>
            </w:r>
          </w:p>
        </w:tc>
      </w:tr>
      <w:tr>
        <w:trPr>
          <w:trHeight w:val="122"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1 372.08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297.76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1 454.01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159.65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2 638.62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4 027.34</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2 638.62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181.91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491.59</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220.85</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399.10</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1.85</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2 638.62</w:t>
            </w:r>
          </w:p>
        </w:tc>
      </w:tr>
      <w:tr>
        <w:trPr>
          <w:trHeight w:val="167"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33</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Город Уссурийск</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444.29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138.41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782.04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67.36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879.67</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2 740.16</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954.07</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268.00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267.05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220.34</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895.26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223.04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815.47</w:t>
            </w:r>
          </w:p>
        </w:tc>
      </w:tr>
      <w:tr>
        <w:trPr>
          <w:trHeight w:val="399"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1 716.46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299.49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2 502.77</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266.70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3 059.29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3 886.93</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2 879.71</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360.06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973.73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502.01</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987.33</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796.11</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2 810.17</w:t>
            </w:r>
          </w:p>
        </w:tc>
      </w:tr>
      <w:tr>
        <w:trPr>
          <w:trHeight w:val="317" w:hRule="atLeast"/>
        </w:trPr>
        <w:tc>
          <w:tcPr>
            <w:tcW w:w="4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2 524.55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529.74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2 802.32</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290.68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4 854.91</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5 071.05</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4 854.91</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1 090.93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1 337.41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606.45</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1 337.41</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874.21</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1.62</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4 854.91</w:t>
            </w:r>
          </w:p>
        </w:tc>
      </w:tr>
      <w:tr>
        <w:trPr>
          <w:trHeight w:val="281"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imes New Roman" w:hAnsi="Times New Roman" w:eastAsia="Times New Roman" w:cs="Times New Roman"/>
                <w:sz w:val="18"/>
                <w:szCs w:val="18"/>
              </w:rPr>
            </w:pPr>
            <w:r>
              <w:rPr>
                <w:rFonts w:eastAsia="Times New Roman" w:cs="Times New Roman" w:ascii="Times New Roman" w:hAnsi="Times New Roman"/>
                <w:sz w:val="18"/>
                <w:szCs w:val="18"/>
              </w:rPr>
              <w:t>34</w:t>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Город Фокино (ЗАТО)</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637.09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113.42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377.06</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966.89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217.37</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1 325.55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135.36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402.14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485.46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402.14</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1.06</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966.89</w:t>
            </w:r>
          </w:p>
        </w:tc>
      </w:tr>
      <w:tr>
        <w:trPr>
          <w:trHeight w:val="415" w:hRule="atLeast"/>
        </w:trPr>
        <w:tc>
          <w:tcPr>
            <w:tcW w:w="42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811.76</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219.68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1 218.05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96.27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1 624.01</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709.23</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1 806.18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162.11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535.21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486.55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402.60</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1.06</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1 619.78</w:t>
            </w:r>
          </w:p>
        </w:tc>
      </w:tr>
      <w:tr>
        <w:trPr>
          <w:trHeight w:val="195" w:hRule="atLeast"/>
        </w:trPr>
        <w:tc>
          <w:tcPr>
            <w:tcW w:w="42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966.91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296.22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1 442.41</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109.03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1 859.44</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1 128.70</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1 859.44</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551.00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805.83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489.26</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460.31</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1.06</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1 859.44</w:t>
            </w:r>
          </w:p>
        </w:tc>
      </w:tr>
      <w:tr>
        <w:trPr>
          <w:trHeight w:val="252" w:hRule="atLeast"/>
        </w:trPr>
        <w:tc>
          <w:tcPr>
            <w:tcW w:w="425"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
          </w:p>
        </w:tc>
        <w:tc>
          <w:tcPr>
            <w:tcW w:w="170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Итого по субъекту РФ</w:t>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Минимальное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140.99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44.02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251.64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13.40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275.96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217.37</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300.04</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48.03</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64.75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126.19</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177.88</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64.75</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0.09</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254.83</w:t>
            </w:r>
          </w:p>
        </w:tc>
      </w:tr>
      <w:tr>
        <w:trPr>
          <w:trHeight w:val="486" w:hRule="atLeast"/>
        </w:trPr>
        <w:tc>
          <w:tcPr>
            <w:tcW w:w="42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right="-108" w:hanging="0"/>
              <w:rPr>
                <w:rFonts w:ascii="Times New Roman" w:hAnsi="Times New Roman" w:eastAsia="Times New Roman" w:cs="Times New Roman"/>
                <w:sz w:val="18"/>
                <w:szCs w:val="18"/>
              </w:rPr>
            </w:pPr>
            <w:r>
              <w:rPr>
                <w:rFonts w:eastAsia="Times New Roman" w:cs="Times New Roman" w:ascii="Times New Roman" w:hAnsi="Times New Roman"/>
                <w:sz w:val="18"/>
                <w:szCs w:val="18"/>
              </w:rPr>
              <w:t>Среднее взвешенное по площади значение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2 226.21</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255.47</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2 639.85</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227.64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3 380.18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2 716.90</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3 627.75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495.79</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1 020.13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862.62</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1 036.29</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678.71</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1.24</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3 109.63</w:t>
            </w:r>
          </w:p>
        </w:tc>
      </w:tr>
      <w:tr>
        <w:trPr>
          <w:trHeight w:val="214" w:hRule="atLeast"/>
        </w:trPr>
        <w:tc>
          <w:tcPr>
            <w:tcW w:w="42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70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r>
          </w:p>
        </w:tc>
        <w:tc>
          <w:tcPr>
            <w:tcW w:w="198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rPr>
              <w:t>Максимальное</w:t>
            </w:r>
          </w:p>
        </w:tc>
        <w:tc>
          <w:tcPr>
            <w:tcW w:w="85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9 028.25</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2 070.80</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5 448.64</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1 113.64</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17 362.02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13 216.86</w:t>
            </w:r>
          </w:p>
        </w:tc>
        <w:tc>
          <w:tcPr>
            <w:tcW w:w="8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17 362.02</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2 463.68</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3 737.53</w:t>
            </w:r>
          </w:p>
        </w:tc>
        <w:tc>
          <w:tcPr>
            <w:tcW w:w="7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1 963.53</w:t>
            </w:r>
          </w:p>
        </w:tc>
        <w:tc>
          <w:tcPr>
            <w:tcW w:w="7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3 724.45</w:t>
            </w:r>
          </w:p>
        </w:tc>
        <w:tc>
          <w:tcPr>
            <w:tcW w:w="7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1 849.00</w:t>
            </w:r>
          </w:p>
        </w:tc>
        <w:tc>
          <w:tcPr>
            <w:tcW w:w="56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1.49</w:t>
            </w:r>
          </w:p>
        </w:tc>
        <w:tc>
          <w:tcPr>
            <w:tcW w:w="5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2.13</w:t>
            </w:r>
          </w:p>
        </w:tc>
        <w:tc>
          <w:tcPr>
            <w:tcW w:w="84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108" w:right="-108" w:hanging="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17 362.02</w:t>
            </w:r>
          </w:p>
        </w:tc>
      </w:tr>
    </w:tbl>
    <w:p>
      <w:pPr>
        <w:pStyle w:val="Normal"/>
        <w:spacing w:lineRule="auto" w:line="240" w:before="240" w:after="200"/>
        <w:contextualSpacing/>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numPr>
          <w:ilvl w:val="0"/>
          <w:numId w:val="5"/>
        </w:numPr>
        <w:spacing w:lineRule="auto" w:line="240" w:before="0" w:after="0"/>
        <w:ind w:left="641" w:hanging="357"/>
        <w:contextualSpacing/>
        <w:rPr>
          <w:rFonts w:ascii="Times New Roman" w:hAnsi="Times New Roman" w:cs="Times New Roman"/>
          <w:sz w:val="24"/>
          <w:szCs w:val="24"/>
        </w:rPr>
      </w:pPr>
      <w:r>
        <w:rPr>
          <w:rFonts w:cs="Times New Roman" w:ascii="Times New Roman" w:hAnsi="Times New Roman"/>
          <w:sz w:val="24"/>
          <w:szCs w:val="24"/>
        </w:rPr>
        <w:t>Расчет рыночной стоимости земельных участков 12 вида разрешенного использования не проводился, так как земельные участки, указанного вида разрешенного использования на территории Приморского края отсутствуют.</w:t>
      </w:r>
    </w:p>
    <w:p>
      <w:pPr>
        <w:sectPr>
          <w:headerReference w:type="default" r:id="rId166"/>
          <w:footerReference w:type="default" r:id="rId167"/>
          <w:type w:val="nextPage"/>
          <w:pgSz w:orient="landscape" w:w="16838" w:h="11906"/>
          <w:pgMar w:left="1134" w:right="1134" w:gutter="0" w:header="709" w:top="1701" w:footer="709" w:bottom="851"/>
          <w:pgNumType w:fmt="decimal"/>
          <w:formProt w:val="false"/>
          <w:textDirection w:val="lrTb"/>
          <w:docGrid w:type="default" w:linePitch="299" w:charSpace="4096"/>
        </w:sectPr>
        <w:pStyle w:val="Style28"/>
        <w:numPr>
          <w:ilvl w:val="0"/>
          <w:numId w:val="5"/>
        </w:numPr>
        <w:suppressAutoHyphens w:val="true"/>
        <w:spacing w:lineRule="auto" w:line="240" w:before="0" w:after="0"/>
        <w:rPr>
          <w:rFonts w:ascii="Times New Roman" w:hAnsi="Times New Roman" w:cs="Times New Roman"/>
          <w:szCs w:val="24"/>
        </w:rPr>
      </w:pPr>
      <w:r>
        <w:rPr>
          <w:rFonts w:cs="Times New Roman" w:ascii="Times New Roman" w:hAnsi="Times New Roman"/>
          <w:szCs w:val="24"/>
        </w:rPr>
        <w:t>Кадастровая стоимость земельных участков 16 вида разрешенного использования не рассчитывается и устанавливается равной одному рублю за земельный участок.</w:t>
      </w:r>
    </w:p>
    <w:p>
      <w:pPr>
        <w:pStyle w:val="Normal"/>
        <w:spacing w:lineRule="auto" w:line="360" w:before="0" w:after="0"/>
        <w:contextualSpacing/>
        <w:jc w:val="right"/>
        <w:rPr>
          <w:rFonts w:ascii="Times New Roman" w:hAnsi="Times New Roman" w:cs="Times New Roman"/>
          <w:sz w:val="28"/>
          <w:szCs w:val="28"/>
        </w:rPr>
      </w:pPr>
      <w:r>
        <w:rPr>
          <w:rFonts w:cs="Times New Roman" w:ascii="Times New Roman" w:hAnsi="Times New Roman"/>
          <w:sz w:val="28"/>
          <w:szCs w:val="28"/>
        </w:rPr>
        <w:t>Приложение № 19</w:t>
      </w:r>
    </w:p>
    <w:p>
      <w:pPr>
        <w:pStyle w:val="Normal"/>
        <w:spacing w:lineRule="auto" w:line="240" w:before="0" w:after="0"/>
        <w:jc w:val="center"/>
        <w:rPr>
          <w:rFonts w:ascii="Times New Roman" w:hAnsi="Times New Roman" w:eastAsia="Times New Roman" w:cs="Times New Roman"/>
          <w:b/>
          <w:b/>
        </w:rPr>
      </w:pPr>
      <w:r>
        <w:rPr>
          <w:rFonts w:eastAsia="Times New Roman" w:cs="Times New Roman" w:ascii="Times New Roman" w:hAnsi="Times New Roman"/>
          <w:b/>
        </w:rPr>
        <w:t xml:space="preserve">Удельные показатели кадастровой стоимости земель в разрезе категорий земель </w:t>
        <w:br/>
        <w:t>и видов функционального использования по Приморскому краю, руб./кв.м.</w:t>
      </w:r>
    </w:p>
    <w:tbl>
      <w:tblPr>
        <w:tblW w:w="15031" w:type="dxa"/>
        <w:jc w:val="center"/>
        <w:tblInd w:w="0" w:type="dxa"/>
        <w:tblLayout w:type="fixed"/>
        <w:tblCellMar>
          <w:top w:w="11" w:type="dxa"/>
          <w:left w:w="11" w:type="dxa"/>
          <w:bottom w:w="0" w:type="dxa"/>
          <w:right w:w="11" w:type="dxa"/>
        </w:tblCellMar>
        <w:tblLook w:val="0000" w:noHBand="0" w:noVBand="0" w:firstColumn="0" w:lastRow="0" w:lastColumn="0" w:firstRow="0"/>
      </w:tblPr>
      <w:tblGrid>
        <w:gridCol w:w="2711"/>
        <w:gridCol w:w="670"/>
        <w:gridCol w:w="701"/>
        <w:gridCol w:w="828"/>
        <w:gridCol w:w="701"/>
        <w:gridCol w:w="700"/>
        <w:gridCol w:w="699"/>
        <w:gridCol w:w="700"/>
        <w:gridCol w:w="701"/>
        <w:gridCol w:w="699"/>
        <w:gridCol w:w="601"/>
        <w:gridCol w:w="600"/>
        <w:gridCol w:w="600"/>
        <w:gridCol w:w="599"/>
        <w:gridCol w:w="701"/>
        <w:gridCol w:w="700"/>
        <w:gridCol w:w="699"/>
        <w:gridCol w:w="600"/>
        <w:gridCol w:w="820"/>
      </w:tblGrid>
      <w:tr>
        <w:trPr>
          <w:trHeight w:val="490" w:hRule="atLeast"/>
        </w:trPr>
        <w:tc>
          <w:tcPr>
            <w:tcW w:w="27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t xml:space="preserve">Наименование </w:t>
              <w:br/>
              <w:t>категорий земель/вида использования</w:t>
            </w:r>
          </w:p>
        </w:tc>
        <w:tc>
          <w:tcPr>
            <w:tcW w:w="12319" w:type="dxa"/>
            <w:gridSpan w:val="18"/>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t>Значения</w:t>
            </w:r>
          </w:p>
        </w:tc>
      </w:tr>
      <w:tr>
        <w:trPr>
          <w:trHeight w:val="300" w:hRule="atLeast"/>
        </w:trPr>
        <w:tc>
          <w:tcPr>
            <w:tcW w:w="271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Земли промышленности и иного специального назначения</w:t>
            </w:r>
          </w:p>
        </w:tc>
        <w:tc>
          <w:tcPr>
            <w:tcW w:w="2199"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I группа</w:t>
            </w:r>
          </w:p>
        </w:tc>
        <w:tc>
          <w:tcPr>
            <w:tcW w:w="2100"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II группа</w:t>
            </w:r>
          </w:p>
        </w:tc>
        <w:tc>
          <w:tcPr>
            <w:tcW w:w="2100"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III группа</w:t>
            </w:r>
          </w:p>
        </w:tc>
        <w:tc>
          <w:tcPr>
            <w:tcW w:w="1801"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IV группа</w:t>
            </w:r>
          </w:p>
        </w:tc>
        <w:tc>
          <w:tcPr>
            <w:tcW w:w="2000"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V группа</w:t>
            </w:r>
          </w:p>
        </w:tc>
        <w:tc>
          <w:tcPr>
            <w:tcW w:w="2119"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VI группа</w:t>
            </w:r>
          </w:p>
        </w:tc>
      </w:tr>
      <w:tr>
        <w:trPr>
          <w:trHeight w:val="202"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8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6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5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r>
      <w:tr>
        <w:trPr>
          <w:trHeight w:val="240"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1,57</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40,72</w:t>
            </w:r>
          </w:p>
        </w:tc>
        <w:tc>
          <w:tcPr>
            <w:tcW w:w="8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116,27</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15,59</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73,65</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210,84</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325,08</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391,15</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498,94</w:t>
            </w:r>
          </w:p>
        </w:tc>
        <w:tc>
          <w:tcPr>
            <w:tcW w:w="6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1,06</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1,46</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2,0</w:t>
            </w:r>
          </w:p>
        </w:tc>
        <w:tc>
          <w:tcPr>
            <w:tcW w:w="5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64,16</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80,91</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210,19</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0,03</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2,13</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118,06</w:t>
            </w:r>
          </w:p>
        </w:tc>
      </w:tr>
      <w:tr>
        <w:trPr>
          <w:trHeight w:val="229" w:hRule="atLeast"/>
        </w:trPr>
        <w:tc>
          <w:tcPr>
            <w:tcW w:w="271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Земли водного фонда</w:t>
            </w:r>
          </w:p>
        </w:tc>
        <w:tc>
          <w:tcPr>
            <w:tcW w:w="12319" w:type="dxa"/>
            <w:gridSpan w:val="18"/>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t>Значения</w:t>
            </w:r>
          </w:p>
        </w:tc>
      </w:tr>
      <w:tr>
        <w:trPr>
          <w:trHeight w:val="170"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199"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I группа</w:t>
            </w:r>
          </w:p>
        </w:tc>
        <w:tc>
          <w:tcPr>
            <w:tcW w:w="2100"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II группа</w:t>
            </w:r>
          </w:p>
        </w:tc>
        <w:tc>
          <w:tcPr>
            <w:tcW w:w="2100"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III группа</w:t>
            </w:r>
          </w:p>
        </w:tc>
        <w:tc>
          <w:tcPr>
            <w:tcW w:w="1801"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IV группа</w:t>
            </w:r>
          </w:p>
        </w:tc>
        <w:tc>
          <w:tcPr>
            <w:tcW w:w="2000"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V группа</w:t>
            </w:r>
          </w:p>
        </w:tc>
        <w:tc>
          <w:tcPr>
            <w:tcW w:w="2119"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VI группа</w:t>
            </w:r>
          </w:p>
        </w:tc>
      </w:tr>
      <w:tr>
        <w:trPr>
          <w:trHeight w:val="289"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8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6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5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r>
      <w:tr>
        <w:trPr>
          <w:trHeight w:val="160"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lang w:val="en-US"/>
              </w:rPr>
            </w:pPr>
            <w:r>
              <w:rPr>
                <w:rFonts w:eastAsia="Times New Roman" w:cs="Times New Roman" w:ascii="Times New Roman" w:hAnsi="Times New Roman"/>
              </w:rPr>
              <w:t> </w:t>
            </w:r>
            <w:r>
              <w:rPr>
                <w:rFonts w:eastAsia="Times New Roman" w:cs="Times New Roman" w:ascii="Times New Roman" w:hAnsi="Times New Roman"/>
                <w:lang w:val="en-US"/>
              </w:rPr>
              <w:t>-</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lang w:val="en-US"/>
              </w:rPr>
            </w:pPr>
            <w:r>
              <w:rPr>
                <w:rFonts w:eastAsia="Times New Roman" w:cs="Times New Roman" w:ascii="Times New Roman" w:hAnsi="Times New Roman"/>
              </w:rPr>
              <w:t> </w:t>
            </w:r>
            <w:r>
              <w:rPr>
                <w:rFonts w:eastAsia="Times New Roman" w:cs="Times New Roman" w:ascii="Times New Roman" w:hAnsi="Times New Roman"/>
                <w:lang w:val="en-US"/>
              </w:rPr>
              <w:t>-</w:t>
            </w:r>
          </w:p>
        </w:tc>
        <w:tc>
          <w:tcPr>
            <w:tcW w:w="8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lang w:val="en-US"/>
              </w:rPr>
            </w:pPr>
            <w:r>
              <w:rPr>
                <w:rFonts w:eastAsia="Times New Roman" w:cs="Times New Roman" w:ascii="Times New Roman" w:hAnsi="Times New Roman"/>
              </w:rPr>
              <w:t> </w:t>
            </w:r>
            <w:r>
              <w:rPr>
                <w:rFonts w:eastAsia="Times New Roman" w:cs="Times New Roman" w:ascii="Times New Roman" w:hAnsi="Times New Roman"/>
                <w:lang w:val="en-US"/>
              </w:rPr>
              <w:t>-</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lang w:val="en-US"/>
              </w:rPr>
              <w:t>-</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lang w:val="en-US"/>
              </w:rPr>
            </w:pPr>
            <w:r>
              <w:rPr>
                <w:rFonts w:eastAsia="Times New Roman" w:cs="Times New Roman" w:ascii="Times New Roman" w:hAnsi="Times New Roman"/>
              </w:rPr>
              <w:t> </w:t>
            </w:r>
            <w:r>
              <w:rPr>
                <w:rFonts w:eastAsia="Times New Roman" w:cs="Times New Roman" w:ascii="Times New Roman" w:hAnsi="Times New Roman"/>
                <w:lang w:val="en-US"/>
              </w:rPr>
              <w:t>-</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lang w:val="en-US"/>
              </w:rPr>
            </w:pPr>
            <w:r>
              <w:rPr>
                <w:rFonts w:eastAsia="Times New Roman" w:cs="Times New Roman" w:ascii="Times New Roman" w:hAnsi="Times New Roman"/>
              </w:rPr>
              <w:t> </w:t>
            </w:r>
            <w:r>
              <w:rPr>
                <w:rFonts w:eastAsia="Times New Roman" w:cs="Times New Roman" w:ascii="Times New Roman" w:hAnsi="Times New Roman"/>
                <w:lang w:val="en-US"/>
              </w:rPr>
              <w:t>-</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0,93</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4,72</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51,39</w:t>
            </w:r>
          </w:p>
        </w:tc>
        <w:tc>
          <w:tcPr>
            <w:tcW w:w="6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lang w:val="en-US"/>
              </w:rPr>
              <w:t>-</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lang w:val="en-US"/>
              </w:rPr>
            </w:pPr>
            <w:r>
              <w:rPr>
                <w:rFonts w:eastAsia="Times New Roman" w:cs="Times New Roman" w:ascii="Times New Roman" w:hAnsi="Times New Roman"/>
              </w:rPr>
              <w:t> </w:t>
            </w:r>
            <w:r>
              <w:rPr>
                <w:rFonts w:eastAsia="Times New Roman" w:cs="Times New Roman" w:ascii="Times New Roman" w:hAnsi="Times New Roman"/>
                <w:lang w:val="en-US"/>
              </w:rPr>
              <w:t>-</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lang w:val="en-US"/>
              </w:rPr>
            </w:pPr>
            <w:r>
              <w:rPr>
                <w:rFonts w:eastAsia="Times New Roman" w:cs="Times New Roman" w:ascii="Times New Roman" w:hAnsi="Times New Roman"/>
              </w:rPr>
              <w:t> </w:t>
            </w:r>
            <w:r>
              <w:rPr>
                <w:rFonts w:eastAsia="Times New Roman" w:cs="Times New Roman" w:ascii="Times New Roman" w:hAnsi="Times New Roman"/>
                <w:lang w:val="en-US"/>
              </w:rPr>
              <w:t>-</w:t>
            </w:r>
          </w:p>
        </w:tc>
        <w:tc>
          <w:tcPr>
            <w:tcW w:w="5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lang w:val="en-US"/>
              </w:rPr>
              <w:t>-</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lang w:val="en-US"/>
              </w:rPr>
            </w:pPr>
            <w:r>
              <w:rPr>
                <w:rFonts w:eastAsia="Times New Roman" w:cs="Times New Roman" w:ascii="Times New Roman" w:hAnsi="Times New Roman"/>
              </w:rPr>
              <w:t> </w:t>
            </w:r>
            <w:r>
              <w:rPr>
                <w:rFonts w:eastAsia="Times New Roman" w:cs="Times New Roman" w:ascii="Times New Roman" w:hAnsi="Times New Roman"/>
                <w:lang w:val="en-US"/>
              </w:rPr>
              <w:t>-</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lang w:val="en-US"/>
              </w:rPr>
              <w:t>-</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lang w:val="en-US"/>
              </w:rPr>
            </w:pPr>
            <w:r>
              <w:rPr>
                <w:rFonts w:eastAsia="Times New Roman" w:cs="Times New Roman" w:ascii="Times New Roman" w:hAnsi="Times New Roman"/>
              </w:rPr>
              <w:t> </w:t>
            </w:r>
            <w:r>
              <w:rPr>
                <w:rFonts w:eastAsia="Times New Roman" w:cs="Times New Roman" w:ascii="Times New Roman" w:hAnsi="Times New Roman"/>
                <w:lang w:val="en-US"/>
              </w:rPr>
              <w:t>-</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lang w:val="en-US"/>
              </w:rPr>
            </w:pPr>
            <w:r>
              <w:rPr>
                <w:rFonts w:eastAsia="Times New Roman" w:cs="Times New Roman" w:ascii="Times New Roman" w:hAnsi="Times New Roman"/>
              </w:rPr>
              <w:t> </w:t>
            </w:r>
            <w:r>
              <w:rPr>
                <w:rFonts w:eastAsia="Times New Roman" w:cs="Times New Roman" w:ascii="Times New Roman" w:hAnsi="Times New Roman"/>
                <w:lang w:val="en-US"/>
              </w:rPr>
              <w:t>-</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lang w:val="en-US"/>
              </w:rPr>
              <w:t>-</w:t>
            </w:r>
          </w:p>
        </w:tc>
      </w:tr>
      <w:tr>
        <w:trPr>
          <w:trHeight w:val="92" w:hRule="atLeast"/>
        </w:trPr>
        <w:tc>
          <w:tcPr>
            <w:tcW w:w="271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Земли сельскохозяйственного назначения</w:t>
            </w:r>
          </w:p>
        </w:tc>
        <w:tc>
          <w:tcPr>
            <w:tcW w:w="12319" w:type="dxa"/>
            <w:gridSpan w:val="18"/>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t>Значения</w:t>
            </w:r>
          </w:p>
        </w:tc>
      </w:tr>
      <w:tr>
        <w:trPr>
          <w:trHeight w:val="39"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199"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I группа</w:t>
            </w:r>
          </w:p>
        </w:tc>
        <w:tc>
          <w:tcPr>
            <w:tcW w:w="2100"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II группа</w:t>
            </w:r>
          </w:p>
        </w:tc>
        <w:tc>
          <w:tcPr>
            <w:tcW w:w="2100"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III группа</w:t>
            </w:r>
          </w:p>
        </w:tc>
        <w:tc>
          <w:tcPr>
            <w:tcW w:w="1801"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IV группа</w:t>
            </w:r>
          </w:p>
        </w:tc>
        <w:tc>
          <w:tcPr>
            <w:tcW w:w="2000"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V группа</w:t>
            </w:r>
          </w:p>
        </w:tc>
        <w:tc>
          <w:tcPr>
            <w:tcW w:w="2119"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VI группа</w:t>
            </w:r>
          </w:p>
        </w:tc>
      </w:tr>
      <w:tr>
        <w:trPr>
          <w:trHeight w:val="138"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8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6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5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r>
      <w:tr>
        <w:trPr>
          <w:trHeight w:val="67"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0,84</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4,81</w:t>
            </w:r>
          </w:p>
        </w:tc>
        <w:tc>
          <w:tcPr>
            <w:tcW w:w="8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4,38</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4,91</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6,66</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9,21</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lang w:val="en-US"/>
              </w:rPr>
            </w:pPr>
            <w:r>
              <w:rPr>
                <w:rFonts w:eastAsia="Times New Roman" w:cs="Times New Roman" w:ascii="Times New Roman" w:hAnsi="Times New Roman"/>
              </w:rPr>
              <w:t>-</w:t>
            </w:r>
          </w:p>
        </w:tc>
        <w:tc>
          <w:tcPr>
            <w:tcW w:w="6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4,45</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16,03</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lang w:val="en-US"/>
              </w:rPr>
            </w:pPr>
            <w:r>
              <w:rPr>
                <w:rFonts w:eastAsia="Times New Roman" w:cs="Times New Roman" w:ascii="Times New Roman" w:hAnsi="Times New Roman"/>
              </w:rPr>
              <w:t>-</w:t>
            </w:r>
          </w:p>
        </w:tc>
        <w:tc>
          <w:tcPr>
            <w:tcW w:w="5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0,5</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0,5</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lang w:val="en-US"/>
              </w:rPr>
            </w:pPr>
            <w:r>
              <w:rPr>
                <w:rFonts w:eastAsia="Times New Roman" w:cs="Times New Roman" w:ascii="Times New Roman" w:hAnsi="Times New Roman"/>
              </w:rPr>
              <w:t>-</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0,84</w:t>
            </w:r>
          </w:p>
        </w:tc>
        <w:tc>
          <w:tcPr>
            <w:tcW w:w="6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0,84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w:t>
            </w:r>
          </w:p>
        </w:tc>
      </w:tr>
      <w:tr>
        <w:trPr>
          <w:trHeight w:val="178" w:hRule="atLeast"/>
        </w:trPr>
        <w:tc>
          <w:tcPr>
            <w:tcW w:w="271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Земли особо охраняемых территорий и объектов</w:t>
            </w:r>
          </w:p>
        </w:tc>
        <w:tc>
          <w:tcPr>
            <w:tcW w:w="4299" w:type="dxa"/>
            <w:gridSpan w:val="6"/>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t>Значения</w:t>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5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82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r>
      <w:tr>
        <w:trPr>
          <w:trHeight w:val="107"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199"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I группа</w:t>
            </w:r>
          </w:p>
        </w:tc>
        <w:tc>
          <w:tcPr>
            <w:tcW w:w="2100"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II группа</w:t>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5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82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224"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8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5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82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167"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0.59</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9.33</w:t>
            </w:r>
          </w:p>
        </w:tc>
        <w:tc>
          <w:tcPr>
            <w:tcW w:w="8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21.71</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11.35</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34.52</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129.52</w:t>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5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82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98" w:hRule="atLeast"/>
        </w:trPr>
        <w:tc>
          <w:tcPr>
            <w:tcW w:w="271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Земли садоводческих, </w:t>
              <w:br/>
              <w:t>огороднических</w:t>
            </w:r>
          </w:p>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и дачных объединений</w:t>
            </w:r>
          </w:p>
        </w:tc>
        <w:tc>
          <w:tcPr>
            <w:tcW w:w="4299" w:type="dxa"/>
            <w:gridSpan w:val="6"/>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t>Значения</w:t>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5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82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r>
      <w:tr>
        <w:trPr>
          <w:trHeight w:val="385"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199"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Садоводческие, </w:t>
              <w:br/>
              <w:t xml:space="preserve">огороднические </w:t>
              <w:br/>
              <w:t>объединения</w:t>
            </w:r>
          </w:p>
        </w:tc>
        <w:tc>
          <w:tcPr>
            <w:tcW w:w="2100"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Дачные объединения</w:t>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5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82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222"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8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Мин</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Макс</w:t>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5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82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164"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7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104,63</w:t>
            </w:r>
          </w:p>
        </w:tc>
        <w:tc>
          <w:tcPr>
            <w:tcW w:w="8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w:t>
            </w:r>
          </w:p>
        </w:tc>
        <w:tc>
          <w:tcPr>
            <w:tcW w:w="7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w:t>
            </w:r>
          </w:p>
        </w:tc>
        <w:tc>
          <w:tcPr>
            <w:tcW w:w="7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92,93</w:t>
            </w:r>
          </w:p>
        </w:tc>
        <w:tc>
          <w:tcPr>
            <w:tcW w:w="6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w:t>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5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82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82" w:hRule="atLeast"/>
        </w:trPr>
        <w:tc>
          <w:tcPr>
            <w:tcW w:w="271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Земли лесного фонда</w:t>
            </w:r>
          </w:p>
        </w:tc>
        <w:tc>
          <w:tcPr>
            <w:tcW w:w="2199"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t>Значения</w:t>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5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82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rHeight w:val="190"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199"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Среднее значение</w:t>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5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c>
          <w:tcPr>
            <w:tcW w:w="82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tc>
      </w:tr>
      <w:tr>
        <w:trPr>
          <w:trHeight w:val="39" w:hRule="atLeast"/>
        </w:trPr>
        <w:tc>
          <w:tcPr>
            <w:tcW w:w="2711"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199"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t>0.37</w:t>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5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1"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99"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60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820" w:type="dxa"/>
            <w:tcBorders/>
            <w:shd w:color="auto" w:fill="auto" w:val="clear"/>
            <w:vAlign w:val="center"/>
          </w:tcPr>
          <w:p>
            <w:pPr>
              <w:pStyle w:val="Normal"/>
              <w:widowControl w:val="false"/>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bl>
    <w:p>
      <w:pPr>
        <w:pStyle w:val="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Normal"/>
        <w:jc w:val="right"/>
        <w:rPr>
          <w:rFonts w:ascii="Times New Roman" w:hAnsi="Times New Roman" w:cs="Times New Roman"/>
          <w:sz w:val="28"/>
          <w:szCs w:val="28"/>
        </w:rPr>
      </w:pPr>
      <w:r>
        <w:rPr>
          <w:rFonts w:cs="Times New Roman" w:ascii="Times New Roman" w:hAnsi="Times New Roman"/>
          <w:sz w:val="28"/>
          <w:szCs w:val="28"/>
        </w:rPr>
        <w:t>Приложение № 20</w:t>
      </w:r>
    </w:p>
    <w:p>
      <w:pPr>
        <w:pStyle w:val="Style24"/>
        <w:jc w:val="center"/>
        <w:rPr>
          <w:rFonts w:ascii="Times New Roman" w:hAnsi="Times New Roman" w:cs="Times New Roman"/>
          <w:b/>
          <w:b/>
          <w:color w:val="000000"/>
        </w:rPr>
      </w:pPr>
      <w:r>
        <w:rPr>
          <w:rFonts w:cs="Times New Roman" w:ascii="Times New Roman" w:hAnsi="Times New Roman"/>
          <w:b/>
          <w:color w:val="000000"/>
        </w:rPr>
        <w:t>Количество вновь образованных земельных участков, прошедших государственный кадастровый учет, а также земельных участков, в отношении которых прошли государственный кадастровый учет текущие изменения, в разрезе категории и видов разрешенного использования, для которых определена кадастровая стоимость</w:t>
      </w:r>
    </w:p>
    <w:p>
      <w:pPr>
        <w:pStyle w:val="Style24"/>
        <w:jc w:val="center"/>
        <w:rPr>
          <w:rFonts w:ascii="Times New Roman" w:hAnsi="Times New Roman" w:cs="Times New Roman"/>
          <w:b/>
          <w:b/>
        </w:rPr>
      </w:pPr>
      <w:r>
        <w:rPr>
          <w:rFonts w:cs="Times New Roman" w:ascii="Times New Roman" w:hAnsi="Times New Roman"/>
          <w:b/>
        </w:rPr>
      </w:r>
    </w:p>
    <w:tbl>
      <w:tblPr>
        <w:tblW w:w="14521" w:type="dxa"/>
        <w:jc w:val="center"/>
        <w:tblInd w:w="0" w:type="dxa"/>
        <w:tblLayout w:type="fixed"/>
        <w:tblCellMar>
          <w:top w:w="11" w:type="dxa"/>
          <w:left w:w="11" w:type="dxa"/>
          <w:bottom w:w="0" w:type="dxa"/>
          <w:right w:w="11" w:type="dxa"/>
        </w:tblCellMar>
        <w:tblLook w:val="0000" w:noHBand="0" w:noVBand="0" w:firstColumn="0" w:lastRow="0" w:lastColumn="0" w:firstRow="0"/>
      </w:tblPr>
      <w:tblGrid>
        <w:gridCol w:w="833"/>
        <w:gridCol w:w="408"/>
        <w:gridCol w:w="439"/>
        <w:gridCol w:w="453"/>
        <w:gridCol w:w="456"/>
        <w:gridCol w:w="432"/>
        <w:gridCol w:w="458"/>
        <w:gridCol w:w="363"/>
        <w:gridCol w:w="395"/>
        <w:gridCol w:w="427"/>
        <w:gridCol w:w="432"/>
        <w:gridCol w:w="401"/>
        <w:gridCol w:w="433"/>
        <w:gridCol w:w="502"/>
        <w:gridCol w:w="466"/>
        <w:gridCol w:w="480"/>
        <w:gridCol w:w="480"/>
        <w:gridCol w:w="468"/>
        <w:gridCol w:w="480"/>
        <w:gridCol w:w="799"/>
        <w:gridCol w:w="789"/>
        <w:gridCol w:w="1498"/>
        <w:gridCol w:w="1570"/>
        <w:gridCol w:w="1055"/>
      </w:tblGrid>
      <w:tr>
        <w:trPr>
          <w:trHeight w:val="1330" w:hRule="atLeast"/>
        </w:trPr>
        <w:tc>
          <w:tcPr>
            <w:tcW w:w="833"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113" w:right="113" w:hanging="0"/>
              <w:jc w:val="center"/>
              <w:rPr>
                <w:rFonts w:ascii="Times New Roman" w:hAnsi="Times New Roman" w:cs="Times New Roman"/>
                <w:sz w:val="24"/>
                <w:szCs w:val="24"/>
              </w:rPr>
            </w:pPr>
            <w:r>
              <w:rPr>
                <w:rFonts w:cs="Times New Roman" w:ascii="Times New Roman" w:hAnsi="Times New Roman"/>
                <w:sz w:val="24"/>
                <w:szCs w:val="24"/>
              </w:rPr>
              <w:t>Кварталы 201</w:t>
            </w:r>
            <w:r>
              <w:rPr>
                <w:rFonts w:cs="Times New Roman" w:ascii="Times New Roman" w:hAnsi="Times New Roman"/>
                <w:sz w:val="24"/>
                <w:szCs w:val="24"/>
                <w:lang w:val="en-US"/>
              </w:rPr>
              <w:t>4</w:t>
            </w:r>
            <w:r>
              <w:rPr>
                <w:rFonts w:cs="Times New Roman" w:ascii="Times New Roman" w:hAnsi="Times New Roman"/>
                <w:sz w:val="24"/>
                <w:szCs w:val="24"/>
              </w:rPr>
              <w:t xml:space="preserve"> года</w:t>
            </w:r>
          </w:p>
        </w:tc>
        <w:tc>
          <w:tcPr>
            <w:tcW w:w="2646" w:type="dxa"/>
            <w:gridSpan w:val="6"/>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Группы земель </w:t>
              <w:br/>
              <w:t xml:space="preserve">промышленности </w:t>
              <w:br/>
              <w:t xml:space="preserve">и иного специального </w:t>
              <w:br/>
              <w:t>назначения</w:t>
            </w:r>
          </w:p>
        </w:tc>
        <w:tc>
          <w:tcPr>
            <w:tcW w:w="2451" w:type="dxa"/>
            <w:gridSpan w:val="6"/>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Группы земель </w:t>
              <w:br/>
              <w:t>водного фонда</w:t>
            </w:r>
          </w:p>
        </w:tc>
        <w:tc>
          <w:tcPr>
            <w:tcW w:w="2876" w:type="dxa"/>
            <w:gridSpan w:val="6"/>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Группы земель </w:t>
              <w:br/>
              <w:t xml:space="preserve">сельскохозяйственного </w:t>
              <w:br/>
              <w:t>назначения</w:t>
            </w:r>
          </w:p>
        </w:tc>
        <w:tc>
          <w:tcPr>
            <w:tcW w:w="1588"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Земли особо охраняемых территорий и объектов</w:t>
            </w:r>
          </w:p>
        </w:tc>
        <w:tc>
          <w:tcPr>
            <w:tcW w:w="3068"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Земли садоводческих, огороднических и дачных объединений</w:t>
            </w:r>
          </w:p>
        </w:tc>
        <w:tc>
          <w:tcPr>
            <w:tcW w:w="10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Земли лесного фонда</w:t>
            </w:r>
          </w:p>
        </w:tc>
      </w:tr>
      <w:tr>
        <w:trPr>
          <w:trHeight w:val="954" w:hRule="atLeast"/>
        </w:trPr>
        <w:tc>
          <w:tcPr>
            <w:tcW w:w="833" w:type="dxa"/>
            <w:vMerge w:val="continue"/>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w:t>
            </w:r>
          </w:p>
        </w:tc>
        <w:tc>
          <w:tcPr>
            <w:tcW w:w="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II</w:t>
            </w:r>
          </w:p>
        </w:tc>
        <w:tc>
          <w:tcPr>
            <w:tcW w:w="4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III</w:t>
            </w:r>
          </w:p>
        </w:tc>
        <w:tc>
          <w:tcPr>
            <w:tcW w:w="45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IV</w:t>
            </w:r>
          </w:p>
        </w:tc>
        <w:tc>
          <w:tcPr>
            <w:tcW w:w="43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V</w:t>
            </w:r>
          </w:p>
        </w:tc>
        <w:tc>
          <w:tcPr>
            <w:tcW w:w="45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VI</w:t>
            </w:r>
          </w:p>
        </w:tc>
        <w:tc>
          <w:tcPr>
            <w:tcW w:w="36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w:t>
            </w:r>
          </w:p>
        </w:tc>
        <w:tc>
          <w:tcPr>
            <w:tcW w:w="39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II</w:t>
            </w:r>
          </w:p>
        </w:tc>
        <w:tc>
          <w:tcPr>
            <w:tcW w:w="42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III</w:t>
            </w:r>
          </w:p>
        </w:tc>
        <w:tc>
          <w:tcPr>
            <w:tcW w:w="43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IV</w:t>
            </w:r>
          </w:p>
        </w:tc>
        <w:tc>
          <w:tcPr>
            <w:tcW w:w="40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V</w:t>
            </w:r>
          </w:p>
        </w:tc>
        <w:tc>
          <w:tcPr>
            <w:tcW w:w="43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VI</w:t>
            </w:r>
          </w:p>
        </w:tc>
        <w:tc>
          <w:tcPr>
            <w:tcW w:w="5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w:t>
            </w:r>
          </w:p>
        </w:tc>
        <w:tc>
          <w:tcPr>
            <w:tcW w:w="4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II</w:t>
            </w:r>
          </w:p>
        </w:tc>
        <w:tc>
          <w:tcPr>
            <w:tcW w:w="4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III</w:t>
            </w:r>
          </w:p>
        </w:tc>
        <w:tc>
          <w:tcPr>
            <w:tcW w:w="4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IV</w:t>
            </w:r>
          </w:p>
        </w:tc>
        <w:tc>
          <w:tcPr>
            <w:tcW w:w="4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V</w:t>
            </w:r>
          </w:p>
        </w:tc>
        <w:tc>
          <w:tcPr>
            <w:tcW w:w="4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VI</w:t>
            </w:r>
          </w:p>
        </w:tc>
        <w:tc>
          <w:tcPr>
            <w:tcW w:w="79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1-я группа</w:t>
            </w:r>
          </w:p>
        </w:tc>
        <w:tc>
          <w:tcPr>
            <w:tcW w:w="78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2-я группа</w:t>
            </w:r>
          </w:p>
        </w:tc>
        <w:tc>
          <w:tcPr>
            <w:tcW w:w="149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Садовод., огород. объединения</w:t>
            </w:r>
          </w:p>
        </w:tc>
        <w:tc>
          <w:tcPr>
            <w:tcW w:w="157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Дачные объединения</w:t>
            </w:r>
          </w:p>
        </w:tc>
        <w:tc>
          <w:tcPr>
            <w:tcW w:w="1055" w:type="dxa"/>
            <w:vMerge w:val="continue"/>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406" w:hRule="atLeast"/>
        </w:trPr>
        <w:tc>
          <w:tcPr>
            <w:tcW w:w="8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w:t>
            </w:r>
          </w:p>
        </w:tc>
        <w:tc>
          <w:tcPr>
            <w:tcW w:w="40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7</w:t>
            </w:r>
          </w:p>
        </w:tc>
        <w:tc>
          <w:tcPr>
            <w:tcW w:w="43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14</w:t>
            </w:r>
          </w:p>
        </w:tc>
        <w:tc>
          <w:tcPr>
            <w:tcW w:w="453"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56"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6</w:t>
            </w:r>
          </w:p>
        </w:tc>
        <w:tc>
          <w:tcPr>
            <w:tcW w:w="43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w:t>
            </w:r>
          </w:p>
        </w:tc>
        <w:tc>
          <w:tcPr>
            <w:tcW w:w="45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363"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39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27"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3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33"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50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18</w:t>
            </w:r>
          </w:p>
        </w:tc>
        <w:tc>
          <w:tcPr>
            <w:tcW w:w="466"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5</w:t>
            </w:r>
          </w:p>
        </w:tc>
        <w:tc>
          <w:tcPr>
            <w:tcW w:w="48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6</w:t>
            </w:r>
          </w:p>
        </w:tc>
        <w:tc>
          <w:tcPr>
            <w:tcW w:w="48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w:t>
            </w:r>
          </w:p>
        </w:tc>
        <w:tc>
          <w:tcPr>
            <w:tcW w:w="46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8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w:t>
            </w:r>
          </w:p>
        </w:tc>
        <w:tc>
          <w:tcPr>
            <w:tcW w:w="79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w:t>
            </w:r>
          </w:p>
        </w:tc>
        <w:tc>
          <w:tcPr>
            <w:tcW w:w="78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6</w:t>
            </w:r>
          </w:p>
        </w:tc>
        <w:tc>
          <w:tcPr>
            <w:tcW w:w="14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45</w:t>
            </w:r>
          </w:p>
        </w:tc>
        <w:tc>
          <w:tcPr>
            <w:tcW w:w="157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w:t>
            </w:r>
          </w:p>
        </w:tc>
        <w:tc>
          <w:tcPr>
            <w:tcW w:w="105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7</w:t>
            </w:r>
          </w:p>
        </w:tc>
      </w:tr>
      <w:tr>
        <w:trPr>
          <w:trHeight w:val="406" w:hRule="atLeast"/>
        </w:trPr>
        <w:tc>
          <w:tcPr>
            <w:tcW w:w="8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II</w:t>
            </w:r>
          </w:p>
        </w:tc>
        <w:tc>
          <w:tcPr>
            <w:tcW w:w="40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6</w:t>
            </w:r>
          </w:p>
        </w:tc>
        <w:tc>
          <w:tcPr>
            <w:tcW w:w="43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17</w:t>
            </w:r>
          </w:p>
        </w:tc>
        <w:tc>
          <w:tcPr>
            <w:tcW w:w="453"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w:t>
            </w:r>
          </w:p>
        </w:tc>
        <w:tc>
          <w:tcPr>
            <w:tcW w:w="456"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22</w:t>
            </w:r>
          </w:p>
        </w:tc>
        <w:tc>
          <w:tcPr>
            <w:tcW w:w="43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5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35</w:t>
            </w:r>
          </w:p>
        </w:tc>
        <w:tc>
          <w:tcPr>
            <w:tcW w:w="363"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39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27"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3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33"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50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62</w:t>
            </w:r>
          </w:p>
        </w:tc>
        <w:tc>
          <w:tcPr>
            <w:tcW w:w="466"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9</w:t>
            </w:r>
          </w:p>
        </w:tc>
        <w:tc>
          <w:tcPr>
            <w:tcW w:w="48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w:t>
            </w:r>
          </w:p>
        </w:tc>
        <w:tc>
          <w:tcPr>
            <w:tcW w:w="48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w:t>
            </w:r>
          </w:p>
        </w:tc>
        <w:tc>
          <w:tcPr>
            <w:tcW w:w="46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w:t>
            </w:r>
          </w:p>
        </w:tc>
        <w:tc>
          <w:tcPr>
            <w:tcW w:w="48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w:t>
            </w:r>
          </w:p>
        </w:tc>
        <w:tc>
          <w:tcPr>
            <w:tcW w:w="79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w:t>
            </w:r>
          </w:p>
        </w:tc>
        <w:tc>
          <w:tcPr>
            <w:tcW w:w="78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51</w:t>
            </w:r>
          </w:p>
        </w:tc>
        <w:tc>
          <w:tcPr>
            <w:tcW w:w="14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39</w:t>
            </w:r>
          </w:p>
        </w:tc>
        <w:tc>
          <w:tcPr>
            <w:tcW w:w="157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7</w:t>
            </w:r>
          </w:p>
        </w:tc>
        <w:tc>
          <w:tcPr>
            <w:tcW w:w="105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19</w:t>
            </w:r>
          </w:p>
        </w:tc>
      </w:tr>
      <w:tr>
        <w:trPr>
          <w:trHeight w:val="406" w:hRule="atLeast"/>
        </w:trPr>
        <w:tc>
          <w:tcPr>
            <w:tcW w:w="8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III</w:t>
            </w:r>
          </w:p>
        </w:tc>
        <w:tc>
          <w:tcPr>
            <w:tcW w:w="40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w:t>
            </w:r>
          </w:p>
        </w:tc>
        <w:tc>
          <w:tcPr>
            <w:tcW w:w="43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7</w:t>
            </w:r>
          </w:p>
        </w:tc>
        <w:tc>
          <w:tcPr>
            <w:tcW w:w="453"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w:t>
            </w:r>
          </w:p>
        </w:tc>
        <w:tc>
          <w:tcPr>
            <w:tcW w:w="456"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89</w:t>
            </w:r>
          </w:p>
        </w:tc>
        <w:tc>
          <w:tcPr>
            <w:tcW w:w="43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18</w:t>
            </w:r>
          </w:p>
        </w:tc>
        <w:tc>
          <w:tcPr>
            <w:tcW w:w="45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20</w:t>
            </w:r>
          </w:p>
        </w:tc>
        <w:tc>
          <w:tcPr>
            <w:tcW w:w="363"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39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27"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3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33"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50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39</w:t>
            </w:r>
          </w:p>
        </w:tc>
        <w:tc>
          <w:tcPr>
            <w:tcW w:w="466"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23</w:t>
            </w:r>
          </w:p>
        </w:tc>
        <w:tc>
          <w:tcPr>
            <w:tcW w:w="48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8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w:t>
            </w:r>
          </w:p>
        </w:tc>
        <w:tc>
          <w:tcPr>
            <w:tcW w:w="46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8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7</w:t>
            </w:r>
          </w:p>
        </w:tc>
        <w:tc>
          <w:tcPr>
            <w:tcW w:w="79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w:t>
            </w:r>
          </w:p>
        </w:tc>
        <w:tc>
          <w:tcPr>
            <w:tcW w:w="78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7</w:t>
            </w:r>
          </w:p>
        </w:tc>
        <w:tc>
          <w:tcPr>
            <w:tcW w:w="14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35</w:t>
            </w:r>
          </w:p>
        </w:tc>
        <w:tc>
          <w:tcPr>
            <w:tcW w:w="157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105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18</w:t>
            </w:r>
          </w:p>
        </w:tc>
      </w:tr>
      <w:tr>
        <w:trPr>
          <w:trHeight w:val="406" w:hRule="atLeast"/>
        </w:trPr>
        <w:tc>
          <w:tcPr>
            <w:tcW w:w="8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IV</w:t>
            </w:r>
          </w:p>
        </w:tc>
        <w:tc>
          <w:tcPr>
            <w:tcW w:w="40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22</w:t>
            </w:r>
          </w:p>
        </w:tc>
        <w:tc>
          <w:tcPr>
            <w:tcW w:w="43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53</w:t>
            </w:r>
          </w:p>
        </w:tc>
        <w:tc>
          <w:tcPr>
            <w:tcW w:w="453"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56"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64</w:t>
            </w:r>
          </w:p>
        </w:tc>
        <w:tc>
          <w:tcPr>
            <w:tcW w:w="43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w:t>
            </w:r>
          </w:p>
        </w:tc>
        <w:tc>
          <w:tcPr>
            <w:tcW w:w="45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29</w:t>
            </w:r>
          </w:p>
        </w:tc>
        <w:tc>
          <w:tcPr>
            <w:tcW w:w="363"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39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27"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3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33"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50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51</w:t>
            </w:r>
          </w:p>
        </w:tc>
        <w:tc>
          <w:tcPr>
            <w:tcW w:w="466"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6</w:t>
            </w:r>
          </w:p>
        </w:tc>
        <w:tc>
          <w:tcPr>
            <w:tcW w:w="48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w:t>
            </w:r>
          </w:p>
        </w:tc>
        <w:tc>
          <w:tcPr>
            <w:tcW w:w="48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6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w:t>
            </w:r>
          </w:p>
        </w:tc>
        <w:tc>
          <w:tcPr>
            <w:tcW w:w="48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w:t>
            </w:r>
          </w:p>
        </w:tc>
        <w:tc>
          <w:tcPr>
            <w:tcW w:w="79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78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18</w:t>
            </w:r>
          </w:p>
        </w:tc>
        <w:tc>
          <w:tcPr>
            <w:tcW w:w="14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123</w:t>
            </w:r>
          </w:p>
        </w:tc>
        <w:tc>
          <w:tcPr>
            <w:tcW w:w="1570"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w:t>
            </w:r>
          </w:p>
        </w:tc>
        <w:tc>
          <w:tcPr>
            <w:tcW w:w="105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w:t>
            </w:r>
          </w:p>
        </w:tc>
      </w:tr>
      <w:tr>
        <w:trPr>
          <w:trHeight w:val="406" w:hRule="atLeast"/>
        </w:trPr>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Всего</w:t>
            </w:r>
          </w:p>
        </w:tc>
        <w:tc>
          <w:tcPr>
            <w:tcW w:w="40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36</w:t>
            </w:r>
          </w:p>
        </w:tc>
        <w:tc>
          <w:tcPr>
            <w:tcW w:w="43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91</w:t>
            </w:r>
          </w:p>
        </w:tc>
        <w:tc>
          <w:tcPr>
            <w:tcW w:w="45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w:t>
            </w:r>
          </w:p>
        </w:tc>
        <w:tc>
          <w:tcPr>
            <w:tcW w:w="45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181</w:t>
            </w:r>
          </w:p>
        </w:tc>
        <w:tc>
          <w:tcPr>
            <w:tcW w:w="43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23</w:t>
            </w:r>
          </w:p>
        </w:tc>
        <w:tc>
          <w:tcPr>
            <w:tcW w:w="45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84</w:t>
            </w:r>
          </w:p>
        </w:tc>
        <w:tc>
          <w:tcPr>
            <w:tcW w:w="3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3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2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3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0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43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0</w:t>
            </w:r>
          </w:p>
        </w:tc>
        <w:tc>
          <w:tcPr>
            <w:tcW w:w="5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170</w:t>
            </w:r>
          </w:p>
        </w:tc>
        <w:tc>
          <w:tcPr>
            <w:tcW w:w="46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43</w:t>
            </w:r>
          </w:p>
        </w:tc>
        <w:tc>
          <w:tcPr>
            <w:tcW w:w="48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9</w:t>
            </w:r>
          </w:p>
        </w:tc>
        <w:tc>
          <w:tcPr>
            <w:tcW w:w="48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w:t>
            </w:r>
          </w:p>
        </w:tc>
        <w:tc>
          <w:tcPr>
            <w:tcW w:w="46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6</w:t>
            </w:r>
          </w:p>
        </w:tc>
        <w:tc>
          <w:tcPr>
            <w:tcW w:w="48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13</w:t>
            </w:r>
          </w:p>
        </w:tc>
        <w:tc>
          <w:tcPr>
            <w:tcW w:w="79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6</w:t>
            </w:r>
          </w:p>
        </w:tc>
        <w:tc>
          <w:tcPr>
            <w:tcW w:w="78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82</w:t>
            </w:r>
          </w:p>
        </w:tc>
        <w:tc>
          <w:tcPr>
            <w:tcW w:w="149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242</w:t>
            </w:r>
          </w:p>
        </w:tc>
        <w:tc>
          <w:tcPr>
            <w:tcW w:w="157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15</w:t>
            </w:r>
          </w:p>
        </w:tc>
        <w:tc>
          <w:tcPr>
            <w:tcW w:w="105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48</w:t>
            </w:r>
          </w:p>
        </w:tc>
      </w:tr>
    </w:tbl>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r>
      <w:bookmarkEnd w:id="521"/>
    </w:p>
    <w:p>
      <w:pPr>
        <w:pStyle w:val="Normal"/>
        <w:spacing w:before="0" w:after="0"/>
        <w:jc w:val="both"/>
        <w:rPr>
          <w:rFonts w:ascii="Times New Roman" w:hAnsi="Times New Roman" w:cs="Times New Roman"/>
          <w:sz w:val="28"/>
          <w:szCs w:val="28"/>
        </w:rPr>
      </w:pPr>
      <w:r>
        <w:rPr/>
      </w:r>
    </w:p>
    <w:sectPr>
      <w:headerReference w:type="default" r:id="rId168"/>
      <w:footerReference w:type="default" r:id="rId169"/>
      <w:type w:val="nextPage"/>
      <w:pgSz w:orient="landscape" w:w="16838" w:h="11906"/>
      <w:pgMar w:left="1134" w:right="1134" w:gutter="0" w:header="709" w:top="1701" w:footer="709" w:bottom="851"/>
      <w:pgNumType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Courier New">
    <w:charset w:val="01"/>
    <w:family w:val="roman"/>
    <w:pitch w:val="variable"/>
  </w:font>
  <w:font w:name="Consolas">
    <w:charset w:val="01"/>
    <w:family w:val="roman"/>
    <w:pitch w:val="variable"/>
  </w:font>
  <w:font w:name="Times New Roman">
    <w:charset w:val="01"/>
    <w:family w:val="roman"/>
    <w:pitch w:val="variable"/>
  </w:font>
  <w:font w:name="Liberation Sans">
    <w:altName w:val="Arial"/>
    <w:charset w:val="01"/>
    <w:family w:val="swiss"/>
    <w:pitch w:val="variable"/>
  </w:font>
  <w:font w:name="Times New Roman CYR">
    <w:charset w:val="01"/>
    <w:family w:val="roman"/>
    <w:pitch w:val="variable"/>
  </w:font>
  <w:font w:name="Arial Unicode MS">
    <w:charset w:val="01"/>
    <w:family w:val="roman"/>
    <w:pitch w:val="variable"/>
  </w:font>
  <w:font w:name="Arial">
    <w:charset w:val="01"/>
    <w:family w:val="roman"/>
    <w:pitch w:val="variable"/>
  </w:font>
  <w:font w:name="Albertus Extra Bold">
    <w:charset w:val="01"/>
    <w:family w:val="roman"/>
    <w:pitch w:val="variable"/>
  </w:font>
  <w:font w:name="Arial CYR">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1403"/>
      <w:gridCol w:w="7950"/>
    </w:tblGrid>
    <w:tr>
      <w:trPr/>
      <w:tc>
        <w:tcPr>
          <w:tcW w:w="1403"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113</w:t>
          </w:r>
          <w:r>
            <w:rPr>
              <w:color w:val="4F81BD"/>
            </w:rPr>
            <w:fldChar w:fldCharType="end"/>
          </w:r>
        </w:p>
      </w:tc>
      <w:tc>
        <w:tcPr>
          <w:tcW w:w="7950"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2185"/>
      <w:gridCol w:w="12384"/>
    </w:tblGrid>
    <w:tr>
      <w:trPr/>
      <w:tc>
        <w:tcPr>
          <w:tcW w:w="2185"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154</w:t>
          </w:r>
          <w:r>
            <w:rPr>
              <w:color w:val="4F81BD"/>
            </w:rPr>
            <w:fldChar w:fldCharType="end"/>
          </w:r>
        </w:p>
      </w:tc>
      <w:tc>
        <w:tcPr>
          <w:tcW w:w="12384"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1530"/>
      <w:gridCol w:w="8673"/>
    </w:tblGrid>
    <w:tr>
      <w:trPr/>
      <w:tc>
        <w:tcPr>
          <w:tcW w:w="1530"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156</w:t>
          </w:r>
          <w:r>
            <w:rPr>
              <w:color w:val="4F81BD"/>
            </w:rPr>
            <w:fldChar w:fldCharType="end"/>
          </w:r>
        </w:p>
      </w:tc>
      <w:tc>
        <w:tcPr>
          <w:tcW w:w="8673"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2185"/>
      <w:gridCol w:w="12384"/>
    </w:tblGrid>
    <w:tr>
      <w:trPr/>
      <w:tc>
        <w:tcPr>
          <w:tcW w:w="2185"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159</w:t>
          </w:r>
          <w:r>
            <w:rPr>
              <w:color w:val="4F81BD"/>
            </w:rPr>
            <w:fldChar w:fldCharType="end"/>
          </w:r>
        </w:p>
      </w:tc>
      <w:tc>
        <w:tcPr>
          <w:tcW w:w="12384"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1530"/>
      <w:gridCol w:w="8673"/>
    </w:tblGrid>
    <w:tr>
      <w:trPr/>
      <w:tc>
        <w:tcPr>
          <w:tcW w:w="1530"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160</w:t>
          </w:r>
          <w:r>
            <w:rPr>
              <w:color w:val="4F81BD"/>
            </w:rPr>
            <w:fldChar w:fldCharType="end"/>
          </w:r>
        </w:p>
      </w:tc>
      <w:tc>
        <w:tcPr>
          <w:tcW w:w="8673"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1403"/>
      <w:gridCol w:w="7950"/>
    </w:tblGrid>
    <w:tr>
      <w:trPr/>
      <w:tc>
        <w:tcPr>
          <w:tcW w:w="1403"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164</w:t>
          </w:r>
          <w:r>
            <w:rPr>
              <w:color w:val="4F81BD"/>
            </w:rPr>
            <w:fldChar w:fldCharType="end"/>
          </w:r>
        </w:p>
      </w:tc>
      <w:tc>
        <w:tcPr>
          <w:tcW w:w="7950"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2185"/>
      <w:gridCol w:w="12384"/>
    </w:tblGrid>
    <w:tr>
      <w:trPr/>
      <w:tc>
        <w:tcPr>
          <w:tcW w:w="2185"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170</w:t>
          </w:r>
          <w:r>
            <w:rPr>
              <w:color w:val="4F81BD"/>
            </w:rPr>
            <w:fldChar w:fldCharType="end"/>
          </w:r>
        </w:p>
      </w:tc>
      <w:tc>
        <w:tcPr>
          <w:tcW w:w="12384"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2185"/>
      <w:gridCol w:w="12384"/>
    </w:tblGrid>
    <w:tr>
      <w:trPr/>
      <w:tc>
        <w:tcPr>
          <w:tcW w:w="2185"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172</w:t>
          </w:r>
          <w:r>
            <w:rPr>
              <w:color w:val="4F81BD"/>
            </w:rPr>
            <w:fldChar w:fldCharType="end"/>
          </w:r>
        </w:p>
      </w:tc>
      <w:tc>
        <w:tcPr>
          <w:tcW w:w="12384"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2185"/>
      <w:gridCol w:w="12384"/>
    </w:tblGrid>
    <w:tr>
      <w:trPr/>
      <w:tc>
        <w:tcPr>
          <w:tcW w:w="2185"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124</w:t>
          </w:r>
          <w:r>
            <w:rPr>
              <w:color w:val="4F81BD"/>
            </w:rPr>
            <w:fldChar w:fldCharType="end"/>
          </w:r>
        </w:p>
      </w:tc>
      <w:tc>
        <w:tcPr>
          <w:tcW w:w="12384"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1403"/>
      <w:gridCol w:w="7950"/>
    </w:tblGrid>
    <w:tr>
      <w:trPr/>
      <w:tc>
        <w:tcPr>
          <w:tcW w:w="1403"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126</w:t>
          </w:r>
          <w:r>
            <w:rPr>
              <w:color w:val="4F81BD"/>
            </w:rPr>
            <w:fldChar w:fldCharType="end"/>
          </w:r>
        </w:p>
      </w:tc>
      <w:tc>
        <w:tcPr>
          <w:tcW w:w="7950"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2185"/>
      <w:gridCol w:w="12384"/>
    </w:tblGrid>
    <w:tr>
      <w:trPr/>
      <w:tc>
        <w:tcPr>
          <w:tcW w:w="2185"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130</w:t>
          </w:r>
          <w:r>
            <w:rPr>
              <w:color w:val="4F81BD"/>
            </w:rPr>
            <w:fldChar w:fldCharType="end"/>
          </w:r>
        </w:p>
      </w:tc>
      <w:tc>
        <w:tcPr>
          <w:tcW w:w="12384"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2185"/>
      <w:gridCol w:w="12384"/>
    </w:tblGrid>
    <w:tr>
      <w:trPr/>
      <w:tc>
        <w:tcPr>
          <w:tcW w:w="2185"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137</w:t>
          </w:r>
          <w:r>
            <w:rPr>
              <w:color w:val="4F81BD"/>
            </w:rPr>
            <w:fldChar w:fldCharType="end"/>
          </w:r>
        </w:p>
      </w:tc>
      <w:tc>
        <w:tcPr>
          <w:tcW w:w="12384"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2185"/>
      <w:gridCol w:w="12384"/>
    </w:tblGrid>
    <w:tr>
      <w:trPr/>
      <w:tc>
        <w:tcPr>
          <w:tcW w:w="2185"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139</w:t>
          </w:r>
          <w:r>
            <w:rPr>
              <w:color w:val="4F81BD"/>
            </w:rPr>
            <w:fldChar w:fldCharType="end"/>
          </w:r>
        </w:p>
      </w:tc>
      <w:tc>
        <w:tcPr>
          <w:tcW w:w="12384"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1403"/>
      <w:gridCol w:w="7950"/>
    </w:tblGrid>
    <w:tr>
      <w:trPr/>
      <w:tc>
        <w:tcPr>
          <w:tcW w:w="1403"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140</w:t>
          </w:r>
          <w:r>
            <w:rPr>
              <w:color w:val="4F81BD"/>
            </w:rPr>
            <w:fldChar w:fldCharType="end"/>
          </w:r>
        </w:p>
      </w:tc>
      <w:tc>
        <w:tcPr>
          <w:tcW w:w="7950"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2185"/>
      <w:gridCol w:w="12384"/>
    </w:tblGrid>
    <w:tr>
      <w:trPr/>
      <w:tc>
        <w:tcPr>
          <w:tcW w:w="2185"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150</w:t>
          </w:r>
          <w:r>
            <w:rPr>
              <w:color w:val="4F81BD"/>
            </w:rPr>
            <w:fldChar w:fldCharType="end"/>
          </w:r>
        </w:p>
      </w:tc>
      <w:tc>
        <w:tcPr>
          <w:tcW w:w="12384"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58" w:type="dxa"/>
        <w:left w:w="115" w:type="dxa"/>
        <w:bottom w:w="58" w:type="dxa"/>
        <w:right w:w="115" w:type="dxa"/>
      </w:tblCellMar>
      <w:tblLook w:val="04a0" w:noHBand="0" w:noVBand="1" w:firstColumn="1" w:lastRow="0" w:lastColumn="0" w:firstRow="1"/>
    </w:tblPr>
    <w:tblGrid>
      <w:gridCol w:w="1530"/>
      <w:gridCol w:w="8673"/>
    </w:tblGrid>
    <w:tr>
      <w:trPr/>
      <w:tc>
        <w:tcPr>
          <w:tcW w:w="1530" w:type="dxa"/>
          <w:tcBorders>
            <w:right w:val="single" w:sz="18" w:space="0" w:color="4F81BD"/>
          </w:tcBorders>
        </w:tcPr>
        <w:p>
          <w:pPr>
            <w:pStyle w:val="Style31"/>
            <w:widowControl w:val="false"/>
            <w:jc w:val="right"/>
            <w:rPr>
              <w:color w:val="4F81BD" w:themeColor="accent1"/>
            </w:rPr>
          </w:pPr>
          <w:r>
            <w:rPr>
              <w:color w:val="4F81BD" w:themeColor="accent1"/>
            </w:rPr>
            <w:fldChar w:fldCharType="begin"/>
          </w:r>
          <w:r>
            <w:rPr>
              <w:color w:val="4F81BD"/>
            </w:rPr>
            <w:instrText xml:space="preserve"> PAGE </w:instrText>
          </w:r>
          <w:r>
            <w:rPr>
              <w:color w:val="4F81BD"/>
            </w:rPr>
            <w:fldChar w:fldCharType="separate"/>
          </w:r>
          <w:r>
            <w:rPr>
              <w:color w:val="4F81BD"/>
            </w:rPr>
            <w:t>151</w:t>
          </w:r>
          <w:r>
            <w:rPr>
              <w:color w:val="4F81BD"/>
            </w:rPr>
            <w:fldChar w:fldCharType="end"/>
          </w:r>
        </w:p>
      </w:tc>
      <w:tc>
        <w:tcPr>
          <w:tcW w:w="8673" w:type="dxa"/>
          <w:tcBorders>
            <w:left w:val="single" w:sz="18" w:space="0" w:color="4F81BD"/>
          </w:tcBorders>
        </w:tcPr>
        <w:p>
          <w:pPr>
            <w:pStyle w:val="Style31"/>
            <w:widowControl w:val="false"/>
            <w:rPr>
              <w:color w:val="4F81BD" w:themeColor="accent1"/>
              <w:lang w:val="ru-RU"/>
            </w:rPr>
          </w:pPr>
          <w:r>
            <w:rPr>
              <w:color w:val="4F81BD" w:themeColor="accent1"/>
              <w:lang w:val="ru-RU"/>
            </w:rPr>
            <w:t>Управление Федеральной службы государственной регистрации,</w:t>
          </w:r>
        </w:p>
        <w:p>
          <w:pPr>
            <w:pStyle w:val="Style31"/>
            <w:widowControl w:val="false"/>
            <w:rPr>
              <w:color w:val="4F81BD" w:themeColor="accent1"/>
              <w:lang w:val="ru-RU"/>
            </w:rPr>
          </w:pPr>
          <w:r>
            <w:rPr>
              <w:color w:val="4F81BD" w:themeColor="accent1"/>
              <w:lang w:val="ru-RU"/>
            </w:rPr>
            <w:t>кадастра и картографии по Приморскому краю</w:t>
          </w:r>
        </w:p>
      </w:tc>
    </w:tr>
  </w:tbl>
  <w:p>
    <w:pPr>
      <w:pStyle w:val="Style31"/>
      <w:rPr>
        <w:lang w:val="ru-RU"/>
      </w:rPr>
    </w:pPr>
    <w:r>
      <w:rPr>
        <w:lang w:val="ru-RU"/>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pPr>
    <w:r>
      <w:rPr>
        <w:lang w:val="ru-RU"/>
      </w:rPr>
      <w:t>в Приморском крае в 2016</w:t>
    </w:r>
    <w:r>
      <w:rPr/>
      <w:t xml:space="preserve"> </w:t>
    </w:r>
    <w:r>
      <w:rPr>
        <w:lang w:val="ru-RU"/>
      </w:rPr>
      <w:t xml:space="preserve"> году </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lang w:val="ru-RU"/>
      </w:rPr>
    </w:pPr>
    <w:r>
      <w:rPr>
        <w:lang w:val="ru-RU"/>
      </w:rPr>
      <w:t>в Приморском крае в 2016</w:t>
    </w:r>
    <w:r>
      <w:rPr/>
      <w:t xml:space="preserve"> </w:t>
    </w:r>
    <w:r>
      <w:rPr>
        <w:lang w:val="ru-RU"/>
      </w:rPr>
      <w:t xml:space="preserve"> году </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lang w:val="ru-RU"/>
      </w:rPr>
    </w:pPr>
    <w:r>
      <w:rPr>
        <w:lang w:val="ru-RU"/>
      </w:rPr>
      <w:t>в Приморском крае в 2016</w:t>
    </w:r>
    <w:r>
      <w:rPr/>
      <w:t xml:space="preserve"> </w:t>
    </w:r>
    <w:r>
      <w:rPr>
        <w:lang w:val="ru-RU"/>
      </w:rPr>
      <w:t xml:space="preserve"> году </w: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lang w:val="ru-RU"/>
      </w:rPr>
    </w:pPr>
    <w:r>
      <w:rPr>
        <w:lang w:val="ru-RU"/>
      </w:rPr>
      <w:t>в Приморском крае в 2016</w:t>
    </w:r>
    <w:r>
      <w:rPr/>
      <w:t xml:space="preserve"> </w:t>
    </w:r>
    <w:r>
      <w:rPr>
        <w:lang w:val="ru-RU"/>
      </w:rPr>
      <w:t xml:space="preserve"> году </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lang w:val="ru-RU"/>
      </w:rPr>
    </w:pPr>
    <w:r>
      <w:rPr>
        <w:lang w:val="ru-RU"/>
      </w:rPr>
      <w:t>в Приморском крае в 2016</w:t>
    </w:r>
    <w:r>
      <w:rPr/>
      <w:t xml:space="preserve"> </w:t>
    </w:r>
    <w:r>
      <w:rPr>
        <w:lang w:val="ru-RU"/>
      </w:rPr>
      <w:t xml:space="preserve"> году </w: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lang w:val="ru-RU"/>
      </w:rPr>
    </w:pPr>
    <w:r>
      <w:rPr>
        <w:lang w:val="ru-RU"/>
      </w:rPr>
      <w:t>в Приморском крае в 2016</w:t>
    </w:r>
    <w:r>
      <w:rPr/>
      <w:t xml:space="preserve"> </w:t>
    </w:r>
    <w:r>
      <w:rPr>
        <w:lang w:val="ru-RU"/>
      </w:rPr>
      <w:t xml:space="preserve"> году </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lang w:val="ru-RU"/>
      </w:rPr>
    </w:pPr>
    <w:r>
      <w:rPr>
        <w:lang w:val="ru-RU"/>
      </w:rPr>
      <w:t>в Приморском крае в 2016</w:t>
    </w:r>
    <w:r>
      <w:rPr/>
      <w:t xml:space="preserve"> </w:t>
    </w:r>
    <w:r>
      <w:rPr>
        <w:lang w:val="ru-RU"/>
      </w:rPr>
      <w:t xml:space="preserve"> году </w: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lang w:val="ru-RU"/>
      </w:rPr>
    </w:pPr>
    <w:r>
      <w:rPr>
        <w:lang w:val="ru-RU"/>
      </w:rPr>
      <w:t>в Приморском крае в 2016</w:t>
    </w:r>
    <w:r>
      <w:rPr/>
      <w:t xml:space="preserve"> </w:t>
    </w:r>
    <w:r>
      <w:rPr>
        <w:lang w:val="ru-RU"/>
      </w:rPr>
      <w:t xml:space="preserve"> году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pPr>
    <w:r>
      <w:rPr>
        <w:lang w:val="ru-RU"/>
      </w:rPr>
      <w:t>в Приморском крае в 2016</w:t>
    </w:r>
    <w:r>
      <w:rPr/>
      <w:t xml:space="preserve"> </w:t>
    </w:r>
    <w:r>
      <w:rPr>
        <w:lang w:val="ru-RU"/>
      </w:rPr>
      <w:t xml:space="preserve"> году </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pPr>
    <w:r>
      <w:rPr>
        <w:lang w:val="ru-RU"/>
      </w:rPr>
      <w:t>в Приморском крае в 2016</w:t>
    </w:r>
    <w:r>
      <w:rPr/>
      <w:t xml:space="preserve"> </w:t>
    </w:r>
    <w:r>
      <w:rPr>
        <w:lang w:val="ru-RU"/>
      </w:rPr>
      <w:t xml:space="preserve"> году </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pPr>
    <w:r>
      <w:rPr>
        <w:lang w:val="ru-RU"/>
      </w:rPr>
      <w:t>в Приморском крае в 2016</w:t>
    </w:r>
    <w:r>
      <w:rPr/>
      <w:t xml:space="preserve"> </w:t>
    </w:r>
    <w:r>
      <w:rPr>
        <w:lang w:val="ru-RU"/>
      </w:rPr>
      <w:t xml:space="preserve"> году </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pPr>
    <w:r>
      <w:rPr>
        <w:lang w:val="ru-RU"/>
      </w:rPr>
      <w:t>в Приморском крае в 2016</w:t>
    </w:r>
    <w:r>
      <w:rPr/>
      <w:t xml:space="preserve"> </w:t>
    </w:r>
    <w:r>
      <w:rPr>
        <w:lang w:val="ru-RU"/>
      </w:rPr>
      <w:t xml:space="preserve"> году </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lang w:val="ru-RU"/>
      </w:rPr>
    </w:pPr>
    <w:r>
      <w:rPr>
        <w:lang w:val="ru-RU"/>
      </w:rPr>
      <w:t>в Приморском крае в 2016</w:t>
    </w:r>
    <w:r>
      <w:rPr/>
      <w:t xml:space="preserve"> </w:t>
    </w:r>
    <w:r>
      <w:rPr>
        <w:lang w:val="ru-RU"/>
      </w:rPr>
      <w:t xml:space="preserve"> году </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lang w:val="ru-RU"/>
      </w:rPr>
    </w:pPr>
    <w:r>
      <w:rPr>
        <w:lang w:val="ru-RU"/>
      </w:rPr>
      <w:t>в Приморском крае в 2016</w:t>
    </w:r>
    <w:r>
      <w:rPr/>
      <w:t xml:space="preserve"> </w:t>
    </w:r>
    <w:r>
      <w:rPr>
        <w:lang w:val="ru-RU"/>
      </w:rPr>
      <w:t xml:space="preserve"> году </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lang w:val="ru-RU"/>
      </w:rPr>
    </w:pPr>
    <w:r>
      <w:rPr>
        <w:lang w:val="ru-RU"/>
      </w:rPr>
      <w:t>в Приморском крае в 2016</w:t>
    </w:r>
    <w:r>
      <w:rPr/>
      <w:t xml:space="preserve"> </w:t>
    </w:r>
    <w:r>
      <w:rPr>
        <w:lang w:val="ru-RU"/>
      </w:rPr>
      <w:t xml:space="preserve"> году </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jc w:val="center"/>
      <w:rPr>
        <w:lang w:val="ru-RU"/>
      </w:rPr>
    </w:pPr>
    <w:r>
      <w:rPr>
        <w:lang w:val="ru-RU"/>
      </w:rPr>
      <w:t>Государственный (региональный) доклад о состоянии и использовании земель</w:t>
    </w:r>
  </w:p>
  <w:p>
    <w:pPr>
      <w:pStyle w:val="Style30"/>
      <w:jc w:val="center"/>
      <w:rPr>
        <w:lang w:val="ru-RU"/>
      </w:rPr>
    </w:pPr>
    <w:r>
      <w:rPr>
        <w:lang w:val="ru-RU"/>
      </w:rPr>
      <w:t>в Приморском крае в 2016</w:t>
    </w:r>
    <w:r>
      <w:rPr/>
      <w:t xml:space="preserve"> </w:t>
    </w:r>
    <w:r>
      <w:rPr>
        <w:lang w:val="ru-RU"/>
      </w:rPr>
      <w:t xml:space="preserve"> году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decimal"/>
      <w:lvlText w:val="%1.%2."/>
      <w:lvlJc w:val="left"/>
      <w:pPr>
        <w:tabs>
          <w:tab w:val="num" w:pos="0"/>
        </w:tabs>
        <w:ind w:left="1110" w:hanging="750"/>
      </w:pPr>
      <w:rPr/>
    </w:lvl>
    <w:lvl w:ilvl="2">
      <w:start w:val="4"/>
      <w:numFmt w:val="decimal"/>
      <w:lvlText w:val="%1.%2.%3."/>
      <w:lvlJc w:val="left"/>
      <w:pPr>
        <w:tabs>
          <w:tab w:val="num" w:pos="0"/>
        </w:tabs>
        <w:ind w:left="1110" w:hanging="75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160" w:hanging="1800"/>
      </w:pPr>
      <w:rPr/>
    </w:lvl>
  </w:abstractNum>
  <w:abstractNum w:abstractNumId="2">
    <w:lvl w:ilvl="0">
      <w:start w:val="1"/>
      <w:numFmt w:val="bullet"/>
      <w:lvlText w:val=""/>
      <w:lvlJc w:val="left"/>
      <w:pPr>
        <w:tabs>
          <w:tab w:val="num" w:pos="720"/>
        </w:tabs>
        <w:ind w:left="720" w:hanging="360"/>
      </w:pPr>
      <w:rPr>
        <w:rFonts w:ascii="Symbol" w:hAnsi="Symbol" w:cs="Symbol" w:hint="default"/>
        <w:color w:val="auto"/>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3">
    <w:lvl w:ilvl="0">
      <w:start w:val="1"/>
      <w:numFmt w:val="bullet"/>
      <w:lvlText w:val=""/>
      <w:lvlJc w:val="left"/>
      <w:pPr>
        <w:tabs>
          <w:tab w:val="num" w:pos="720"/>
        </w:tabs>
        <w:ind w:left="720" w:hanging="360"/>
      </w:pPr>
      <w:rPr>
        <w:rFonts w:ascii="Symbol" w:hAnsi="Symbol" w:cs="Symbol" w:hint="default"/>
        <w:color w:val="auto"/>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4">
    <w:lvl w:ilvl="0">
      <w:start w:val="1"/>
      <w:numFmt w:val="decimal"/>
      <w:lvlText w:val="%1."/>
      <w:lvlJc w:val="left"/>
      <w:pPr>
        <w:tabs>
          <w:tab w:val="num" w:pos="0"/>
        </w:tabs>
        <w:ind w:left="675" w:hanging="675"/>
      </w:pPr>
      <w:rPr/>
    </w:lvl>
    <w:lvl w:ilvl="1">
      <w:start w:val="1"/>
      <w:numFmt w:val="decimal"/>
      <w:lvlText w:val="%1.%2."/>
      <w:lvlJc w:val="left"/>
      <w:pPr>
        <w:tabs>
          <w:tab w:val="num" w:pos="0"/>
        </w:tabs>
        <w:ind w:left="900" w:hanging="720"/>
      </w:pPr>
      <w:rPr/>
    </w:lvl>
    <w:lvl w:ilvl="2">
      <w:start w:val="7"/>
      <w:numFmt w:val="decimal"/>
      <w:lvlText w:val="%1.%2.%3."/>
      <w:lvlJc w:val="left"/>
      <w:pPr>
        <w:tabs>
          <w:tab w:val="num" w:pos="0"/>
        </w:tabs>
        <w:ind w:left="1080" w:hanging="720"/>
      </w:pPr>
      <w:rPr/>
    </w:lvl>
    <w:lvl w:ilvl="3">
      <w:start w:val="1"/>
      <w:numFmt w:val="decimal"/>
      <w:lvlText w:val="%1.%2.%3.%4."/>
      <w:lvlJc w:val="left"/>
      <w:pPr>
        <w:tabs>
          <w:tab w:val="num" w:pos="0"/>
        </w:tabs>
        <w:ind w:left="1620" w:hanging="1080"/>
      </w:pPr>
      <w:rPr/>
    </w:lvl>
    <w:lvl w:ilvl="4">
      <w:start w:val="1"/>
      <w:numFmt w:val="decimal"/>
      <w:lvlText w:val="%1.%2.%3.%4.%5."/>
      <w:lvlJc w:val="left"/>
      <w:pPr>
        <w:tabs>
          <w:tab w:val="num" w:pos="0"/>
        </w:tabs>
        <w:ind w:left="1800" w:hanging="1080"/>
      </w:pPr>
      <w:rPr/>
    </w:lvl>
    <w:lvl w:ilvl="5">
      <w:start w:val="1"/>
      <w:numFmt w:val="decimal"/>
      <w:lvlText w:val="%1.%2.%3.%4.%5.%6."/>
      <w:lvlJc w:val="left"/>
      <w:pPr>
        <w:tabs>
          <w:tab w:val="num" w:pos="0"/>
        </w:tabs>
        <w:ind w:left="2340" w:hanging="1440"/>
      </w:pPr>
      <w:rPr/>
    </w:lvl>
    <w:lvl w:ilvl="6">
      <w:start w:val="1"/>
      <w:numFmt w:val="decimal"/>
      <w:lvlText w:val="%1.%2.%3.%4.%5.%6.%7."/>
      <w:lvlJc w:val="left"/>
      <w:pPr>
        <w:tabs>
          <w:tab w:val="num" w:pos="0"/>
        </w:tabs>
        <w:ind w:left="2880" w:hanging="1800"/>
      </w:pPr>
      <w:rPr/>
    </w:lvl>
    <w:lvl w:ilvl="7">
      <w:start w:val="1"/>
      <w:numFmt w:val="decimal"/>
      <w:lvlText w:val="%1.%2.%3.%4.%5.%6.%7.%8."/>
      <w:lvlJc w:val="left"/>
      <w:pPr>
        <w:tabs>
          <w:tab w:val="num" w:pos="0"/>
        </w:tabs>
        <w:ind w:left="3060" w:hanging="1800"/>
      </w:pPr>
      <w:rPr/>
    </w:lvl>
    <w:lvl w:ilvl="8">
      <w:start w:val="1"/>
      <w:numFmt w:val="decimal"/>
      <w:lvlText w:val="%1.%2.%3.%4.%5.%6.%7.%8.%9."/>
      <w:lvlJc w:val="left"/>
      <w:pPr>
        <w:tabs>
          <w:tab w:val="num" w:pos="0"/>
        </w:tabs>
        <w:ind w:left="3600" w:hanging="2160"/>
      </w:pPr>
      <w:rPr/>
    </w:lvl>
  </w:abstractNum>
  <w:abstractNum w:abstractNumId="5">
    <w:lvl w:ilvl="0">
      <w:start w:val="17"/>
      <w:numFmt w:val="bullet"/>
      <w:lvlText w:val=""/>
      <w:lvlJc w:val="left"/>
      <w:pPr>
        <w:tabs>
          <w:tab w:val="num" w:pos="0"/>
        </w:tabs>
        <w:ind w:left="644" w:hanging="360"/>
      </w:pPr>
      <w:rPr>
        <w:rFonts w:ascii="Symbol" w:hAnsi="Symbol" w:cs="Symbol"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Wingdings" w:hAnsi="Wingdings" w:cs="Wingdings" w:hint="default"/>
      </w:rPr>
    </w:lvl>
    <w:lvl w:ilvl="3">
      <w:start w:val="1"/>
      <w:numFmt w:val="bullet"/>
      <w:lvlText w:val=""/>
      <w:lvlJc w:val="left"/>
      <w:pPr>
        <w:tabs>
          <w:tab w:val="num" w:pos="0"/>
        </w:tabs>
        <w:ind w:left="2804" w:hanging="360"/>
      </w:pPr>
      <w:rPr>
        <w:rFonts w:ascii="Symbol" w:hAnsi="Symbol" w:cs="Symbol" w:hint="default"/>
      </w:rPr>
    </w:lvl>
    <w:lvl w:ilvl="4">
      <w:start w:val="1"/>
      <w:numFmt w:val="bullet"/>
      <w:lvlText w:val="o"/>
      <w:lvlJc w:val="left"/>
      <w:pPr>
        <w:tabs>
          <w:tab w:val="num" w:pos="0"/>
        </w:tabs>
        <w:ind w:left="3524" w:hanging="360"/>
      </w:pPr>
      <w:rPr>
        <w:rFonts w:ascii="Courier New" w:hAnsi="Courier New" w:cs="Courier New" w:hint="default"/>
      </w:rPr>
    </w:lvl>
    <w:lvl w:ilvl="5">
      <w:start w:val="1"/>
      <w:numFmt w:val="bullet"/>
      <w:lvlText w:val=""/>
      <w:lvlJc w:val="left"/>
      <w:pPr>
        <w:tabs>
          <w:tab w:val="num" w:pos="0"/>
        </w:tabs>
        <w:ind w:left="4244" w:hanging="360"/>
      </w:pPr>
      <w:rPr>
        <w:rFonts w:ascii="Wingdings" w:hAnsi="Wingdings" w:cs="Wingdings" w:hint="default"/>
      </w:rPr>
    </w:lvl>
    <w:lvl w:ilvl="6">
      <w:start w:val="1"/>
      <w:numFmt w:val="bullet"/>
      <w:lvlText w:val=""/>
      <w:lvlJc w:val="left"/>
      <w:pPr>
        <w:tabs>
          <w:tab w:val="num" w:pos="0"/>
        </w:tabs>
        <w:ind w:left="4964" w:hanging="360"/>
      </w:pPr>
      <w:rPr>
        <w:rFonts w:ascii="Symbol" w:hAnsi="Symbol" w:cs="Symbol" w:hint="default"/>
      </w:rPr>
    </w:lvl>
    <w:lvl w:ilvl="7">
      <w:start w:val="1"/>
      <w:numFmt w:val="bullet"/>
      <w:lvlText w:val="o"/>
      <w:lvlJc w:val="left"/>
      <w:pPr>
        <w:tabs>
          <w:tab w:val="num" w:pos="0"/>
        </w:tabs>
        <w:ind w:left="5684" w:hanging="360"/>
      </w:pPr>
      <w:rPr>
        <w:rFonts w:ascii="Courier New" w:hAnsi="Courier New" w:cs="Courier New" w:hint="default"/>
      </w:rPr>
    </w:lvl>
    <w:lvl w:ilvl="8">
      <w:start w:val="1"/>
      <w:numFmt w:val="bullet"/>
      <w:lvlText w:val=""/>
      <w:lvlJc w:val="left"/>
      <w:pPr>
        <w:tabs>
          <w:tab w:val="num" w:pos="0"/>
        </w:tabs>
        <w:ind w:left="6404" w:hanging="360"/>
      </w:pPr>
      <w:rPr>
        <w:rFonts w:ascii="Wingdings" w:hAnsi="Wingdings" w:cs="Wingdings" w:hint="default"/>
      </w:rPr>
    </w:lvl>
  </w:abstractNum>
  <w:abstractNum w:abstractNumId="6">
    <w:lvl w:ilvl="0">
      <w:start w:val="1"/>
      <w:numFmt w:val="decimal"/>
      <w:lvlText w:val="%1)"/>
      <w:lvlJc w:val="left"/>
      <w:pPr>
        <w:tabs>
          <w:tab w:val="num" w:pos="0"/>
        </w:tabs>
        <w:ind w:left="1429" w:hanging="360"/>
      </w:pPr>
      <w:rPr>
        <w:rFonts w:ascii="Times New Roman" w:hAnsi="Times New Roman" w:eastAsia="Calibri" w:cs="Times New Roman"/>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8">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List Number 3" w:uiPriority="0"/>
    <w:lsdException w:name="Title" w:uiPriority="0" w:semiHidden="0" w:unhideWhenUsed="0" w:qFormat="1"/>
    <w:lsdException w:name="Default Paragraph Font" w:uiPriority="1"/>
    <w:lsdException w:name="Body Text Indent" w:uiPriority="0" w:qFormat="1"/>
    <w:lsdException w:name="Subtitle" w:uiPriority="0" w:semiHidden="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uiPriority="22" w:semiHidden="0" w:unhideWhenUsed="0" w:qFormat="1"/>
    <w:lsdException w:name="Emphasis" w:uiPriority="0" w:semiHidden="0" w:unhideWhenUsed="0" w:qFormat="1"/>
    <w:lsdException w:name="Document Map" w:uiPriority="0"/>
    <w:lsdException w:name="Plain Text" w:uiPriority="0"/>
    <w:lsdException w:name="Normal (Web)"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b7041"/>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paragraph" w:styleId="1">
    <w:name w:val="Heading 1"/>
    <w:basedOn w:val="Normal"/>
    <w:next w:val="Normal"/>
    <w:link w:val="11"/>
    <w:qFormat/>
    <w:rsid w:val="00e0284e"/>
    <w:pPr>
      <w:spacing w:before="480" w:after="0"/>
      <w:contextualSpacing/>
      <w:outlineLvl w:val="0"/>
    </w:pPr>
    <w:rPr>
      <w:rFonts w:ascii="Cambria" w:hAnsi="Cambria" w:eastAsia="Times New Roman" w:cs="Times New Roman" w:asciiTheme="majorHAnsi" w:hAnsiTheme="majorHAnsi"/>
      <w:smallCaps/>
      <w:spacing w:val="5"/>
      <w:sz w:val="36"/>
      <w:szCs w:val="36"/>
      <w:lang w:val="en-US" w:eastAsia="en-US" w:bidi="en-US"/>
    </w:rPr>
  </w:style>
  <w:style w:type="paragraph" w:styleId="2">
    <w:name w:val="Heading 2"/>
    <w:basedOn w:val="Normal"/>
    <w:next w:val="Normal"/>
    <w:link w:val="21"/>
    <w:semiHidden/>
    <w:unhideWhenUsed/>
    <w:qFormat/>
    <w:rsid w:val="00c65d01"/>
    <w:pPr>
      <w:spacing w:lineRule="auto" w:line="266" w:before="200" w:after="0"/>
      <w:outlineLvl w:val="1"/>
    </w:pPr>
    <w:rPr>
      <w:rFonts w:ascii="Cambria" w:hAnsi="Cambria" w:eastAsia="Times New Roman" w:cs="Times New Roman" w:asciiTheme="majorHAnsi" w:hAnsiTheme="majorHAnsi"/>
      <w:smallCaps/>
      <w:sz w:val="28"/>
      <w:szCs w:val="28"/>
      <w:lang w:val="en-US" w:eastAsia="en-US" w:bidi="en-US"/>
    </w:rPr>
  </w:style>
  <w:style w:type="paragraph" w:styleId="3">
    <w:name w:val="Heading 3"/>
    <w:basedOn w:val="Normal"/>
    <w:next w:val="Normal"/>
    <w:link w:val="31"/>
    <w:semiHidden/>
    <w:unhideWhenUsed/>
    <w:qFormat/>
    <w:rsid w:val="00d70227"/>
    <w:pPr>
      <w:keepNext w:val="true"/>
      <w:keepLines/>
      <w:spacing w:before="200" w:after="0"/>
      <w:outlineLvl w:val="2"/>
    </w:pPr>
    <w:rPr>
      <w:rFonts w:ascii="Cambria" w:hAnsi="Cambria" w:eastAsia="" w:cs="" w:asciiTheme="majorHAnsi" w:cstheme="majorBidi" w:eastAsiaTheme="majorEastAsia" w:hAnsiTheme="majorHAnsi"/>
      <w:b/>
      <w:bCs/>
      <w:color w:val="4F81BD" w:themeColor="accent1"/>
    </w:rPr>
  </w:style>
  <w:style w:type="paragraph" w:styleId="4">
    <w:name w:val="Heading 4"/>
    <w:basedOn w:val="Normal"/>
    <w:next w:val="Normal"/>
    <w:link w:val="41"/>
    <w:unhideWhenUsed/>
    <w:qFormat/>
    <w:rsid w:val="00c65d01"/>
    <w:pPr>
      <w:spacing w:lineRule="auto" w:line="266" w:before="0" w:after="0"/>
      <w:outlineLvl w:val="3"/>
    </w:pPr>
    <w:rPr>
      <w:rFonts w:ascii="Cambria" w:hAnsi="Cambria" w:eastAsia="Times New Roman" w:cs="Times New Roman" w:asciiTheme="majorHAnsi" w:hAnsiTheme="majorHAnsi"/>
      <w:b/>
      <w:bCs/>
      <w:spacing w:val="5"/>
      <w:sz w:val="24"/>
      <w:szCs w:val="24"/>
      <w:lang w:val="en-US" w:eastAsia="en-US" w:bidi="en-US"/>
    </w:rPr>
  </w:style>
  <w:style w:type="paragraph" w:styleId="5">
    <w:name w:val="Heading 5"/>
    <w:basedOn w:val="Normal"/>
    <w:next w:val="Normal"/>
    <w:link w:val="51"/>
    <w:semiHidden/>
    <w:unhideWhenUsed/>
    <w:qFormat/>
    <w:rsid w:val="00c65d01"/>
    <w:pPr>
      <w:spacing w:lineRule="auto" w:line="266" w:before="0" w:after="0"/>
      <w:outlineLvl w:val="4"/>
    </w:pPr>
    <w:rPr>
      <w:rFonts w:ascii="Cambria" w:hAnsi="Cambria" w:eastAsia="Times New Roman" w:cs="Times New Roman" w:asciiTheme="majorHAnsi" w:hAnsiTheme="majorHAnsi"/>
      <w:i/>
      <w:iCs/>
      <w:sz w:val="24"/>
      <w:szCs w:val="24"/>
      <w:lang w:val="en-US" w:eastAsia="en-US" w:bidi="en-US"/>
    </w:rPr>
  </w:style>
  <w:style w:type="paragraph" w:styleId="6">
    <w:name w:val="Heading 6"/>
    <w:basedOn w:val="Normal"/>
    <w:next w:val="Normal"/>
    <w:link w:val="61"/>
    <w:semiHidden/>
    <w:unhideWhenUsed/>
    <w:qFormat/>
    <w:rsid w:val="00c65d01"/>
    <w:pPr>
      <w:shd w:val="clear" w:color="auto" w:fill="FFFFFF" w:themeFill="background1"/>
      <w:spacing w:lineRule="auto" w:line="266" w:before="0" w:after="0"/>
      <w:outlineLvl w:val="5"/>
    </w:pPr>
    <w:rPr>
      <w:rFonts w:ascii="Cambria" w:hAnsi="Cambria" w:eastAsia="Times New Roman" w:cs="Times New Roman" w:asciiTheme="majorHAnsi" w:hAnsiTheme="majorHAnsi"/>
      <w:b/>
      <w:bCs/>
      <w:color w:val="595959" w:themeColor="text1" w:themeTint="a6"/>
      <w:spacing w:val="5"/>
      <w:lang w:val="en-US" w:eastAsia="en-US" w:bidi="en-US"/>
    </w:rPr>
  </w:style>
  <w:style w:type="paragraph" w:styleId="7">
    <w:name w:val="Heading 7"/>
    <w:basedOn w:val="Normal"/>
    <w:next w:val="Normal"/>
    <w:link w:val="71"/>
    <w:semiHidden/>
    <w:unhideWhenUsed/>
    <w:qFormat/>
    <w:rsid w:val="00c65d01"/>
    <w:pPr>
      <w:keepNext w:val="true"/>
      <w:keepLines/>
      <w:spacing w:before="200" w:after="0"/>
      <w:outlineLvl w:val="6"/>
    </w:pPr>
    <w:rPr>
      <w:rFonts w:ascii="Cambria" w:hAnsi="Cambria" w:eastAsia="" w:cs="" w:asciiTheme="majorHAnsi" w:cstheme="majorBidi" w:eastAsiaTheme="majorEastAsia" w:hAnsiTheme="majorHAnsi"/>
      <w:i/>
      <w:iCs/>
      <w:color w:val="404040" w:themeColor="text1" w:themeTint="bf"/>
      <w:lang w:val="en-US" w:eastAsia="en-US" w:bidi="en-US"/>
    </w:rPr>
  </w:style>
  <w:style w:type="paragraph" w:styleId="8">
    <w:name w:val="Heading 8"/>
    <w:basedOn w:val="Normal"/>
    <w:next w:val="Normal"/>
    <w:link w:val="81"/>
    <w:unhideWhenUsed/>
    <w:qFormat/>
    <w:rsid w:val="00c65d01"/>
    <w:pPr>
      <w:keepNext w:val="true"/>
      <w:keepLines/>
      <w:spacing w:before="200" w:after="0"/>
      <w:outlineLvl w:val="7"/>
    </w:pPr>
    <w:rPr>
      <w:rFonts w:ascii="Cambria" w:hAnsi="Cambria" w:eastAsia="" w:cs="" w:asciiTheme="majorHAnsi" w:cstheme="majorBidi" w:eastAsiaTheme="majorEastAsia" w:hAnsiTheme="majorHAnsi"/>
      <w:color w:val="404040" w:themeColor="text1" w:themeTint="bf"/>
      <w:sz w:val="20"/>
      <w:szCs w:val="20"/>
      <w:lang w:val="en-US" w:eastAsia="en-US" w:bidi="en-US"/>
    </w:rPr>
  </w:style>
  <w:style w:type="paragraph" w:styleId="9">
    <w:name w:val="Heading 9"/>
    <w:basedOn w:val="Normal"/>
    <w:next w:val="Normal"/>
    <w:link w:val="91"/>
    <w:semiHidden/>
    <w:unhideWhenUsed/>
    <w:qFormat/>
    <w:rsid w:val="00c65d01"/>
    <w:pPr>
      <w:keepNext w:val="true"/>
      <w:keepLines/>
      <w:spacing w:before="200" w:after="0"/>
      <w:outlineLvl w:val="8"/>
    </w:pPr>
    <w:rPr>
      <w:rFonts w:ascii="Cambria" w:hAnsi="Cambria" w:eastAsia="" w:cs="" w:asciiTheme="majorHAnsi" w:cstheme="majorBidi" w:eastAsiaTheme="majorEastAsia" w:hAnsiTheme="majorHAnsi"/>
      <w:i/>
      <w:iCs/>
      <w:color w:val="404040" w:themeColor="text1" w:themeTint="bf"/>
      <w:sz w:val="20"/>
      <w:szCs w:val="20"/>
      <w:lang w:val="en-US" w:eastAsia="en-US" w:bidi="en-US"/>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qFormat/>
    <w:rsid w:val="00e0284e"/>
    <w:rPr>
      <w:rFonts w:ascii="Cambria" w:hAnsi="Cambria" w:eastAsia="Times New Roman" w:cs="Times New Roman" w:asciiTheme="majorHAnsi" w:hAnsiTheme="majorHAnsi"/>
      <w:smallCaps/>
      <w:spacing w:val="5"/>
      <w:sz w:val="36"/>
      <w:szCs w:val="36"/>
      <w:lang w:val="en-US" w:eastAsia="en-US" w:bidi="en-US"/>
    </w:rPr>
  </w:style>
  <w:style w:type="character" w:styleId="21" w:customStyle="1">
    <w:name w:val="Заголовок 2 Знак"/>
    <w:basedOn w:val="DefaultParagraphFont"/>
    <w:semiHidden/>
    <w:qFormat/>
    <w:rsid w:val="00c65d01"/>
    <w:rPr>
      <w:rFonts w:ascii="Cambria" w:hAnsi="Cambria" w:eastAsia="Times New Roman" w:cs="Times New Roman" w:asciiTheme="majorHAnsi" w:hAnsiTheme="majorHAnsi"/>
      <w:smallCaps/>
      <w:sz w:val="28"/>
      <w:szCs w:val="28"/>
      <w:lang w:val="en-US" w:eastAsia="en-US" w:bidi="en-US"/>
    </w:rPr>
  </w:style>
  <w:style w:type="character" w:styleId="31" w:customStyle="1">
    <w:name w:val="Заголовок 3 Знак"/>
    <w:basedOn w:val="DefaultParagraphFont"/>
    <w:semiHidden/>
    <w:qFormat/>
    <w:rsid w:val="00d70227"/>
    <w:rPr>
      <w:rFonts w:ascii="Cambria" w:hAnsi="Cambria" w:eastAsia="" w:cs="" w:asciiTheme="majorHAnsi" w:cstheme="majorBidi" w:eastAsiaTheme="majorEastAsia" w:hAnsiTheme="majorHAnsi"/>
      <w:b/>
      <w:bCs/>
      <w:color w:val="4F81BD" w:themeColor="accent1"/>
    </w:rPr>
  </w:style>
  <w:style w:type="character" w:styleId="41" w:customStyle="1">
    <w:name w:val="Заголовок 4 Знак"/>
    <w:basedOn w:val="DefaultParagraphFont"/>
    <w:qFormat/>
    <w:rsid w:val="00c65d01"/>
    <w:rPr>
      <w:rFonts w:ascii="Cambria" w:hAnsi="Cambria" w:eastAsia="Times New Roman" w:cs="Times New Roman" w:asciiTheme="majorHAnsi" w:hAnsiTheme="majorHAnsi"/>
      <w:b/>
      <w:bCs/>
      <w:spacing w:val="5"/>
      <w:sz w:val="24"/>
      <w:szCs w:val="24"/>
      <w:lang w:val="en-US" w:eastAsia="en-US" w:bidi="en-US"/>
    </w:rPr>
  </w:style>
  <w:style w:type="character" w:styleId="51" w:customStyle="1">
    <w:name w:val="Заголовок 5 Знак"/>
    <w:basedOn w:val="DefaultParagraphFont"/>
    <w:semiHidden/>
    <w:qFormat/>
    <w:rsid w:val="00c65d01"/>
    <w:rPr>
      <w:rFonts w:ascii="Cambria" w:hAnsi="Cambria" w:eastAsia="Times New Roman" w:cs="Times New Roman" w:asciiTheme="majorHAnsi" w:hAnsiTheme="majorHAnsi"/>
      <w:i/>
      <w:iCs/>
      <w:sz w:val="24"/>
      <w:szCs w:val="24"/>
      <w:lang w:val="en-US" w:eastAsia="en-US" w:bidi="en-US"/>
    </w:rPr>
  </w:style>
  <w:style w:type="character" w:styleId="61" w:customStyle="1">
    <w:name w:val="Заголовок 6 Знак"/>
    <w:basedOn w:val="DefaultParagraphFont"/>
    <w:semiHidden/>
    <w:qFormat/>
    <w:rsid w:val="00c65d01"/>
    <w:rPr>
      <w:rFonts w:ascii="Cambria" w:hAnsi="Cambria" w:eastAsia="Times New Roman" w:cs="Times New Roman" w:asciiTheme="majorHAnsi" w:hAnsiTheme="majorHAnsi"/>
      <w:b/>
      <w:bCs/>
      <w:color w:val="595959" w:themeColor="text1" w:themeTint="a6"/>
      <w:spacing w:val="5"/>
      <w:shd w:fill="FFFFFF" w:val="clear"/>
      <w:lang w:val="en-US" w:eastAsia="en-US" w:bidi="en-US"/>
    </w:rPr>
  </w:style>
  <w:style w:type="character" w:styleId="71" w:customStyle="1">
    <w:name w:val="Заголовок 7 Знак"/>
    <w:basedOn w:val="DefaultParagraphFont"/>
    <w:semiHidden/>
    <w:qFormat/>
    <w:rsid w:val="00c65d01"/>
    <w:rPr>
      <w:rFonts w:ascii="Cambria" w:hAnsi="Cambria" w:eastAsia="" w:cs="" w:asciiTheme="majorHAnsi" w:cstheme="majorBidi" w:eastAsiaTheme="majorEastAsia" w:hAnsiTheme="majorHAnsi"/>
      <w:i/>
      <w:iCs/>
      <w:color w:val="404040" w:themeColor="text1" w:themeTint="bf"/>
      <w:lang w:val="en-US" w:eastAsia="en-US" w:bidi="en-US"/>
    </w:rPr>
  </w:style>
  <w:style w:type="character" w:styleId="81" w:customStyle="1">
    <w:name w:val="Заголовок 8 Знак"/>
    <w:basedOn w:val="DefaultParagraphFont"/>
    <w:qFormat/>
    <w:rsid w:val="00c65d01"/>
    <w:rPr>
      <w:rFonts w:ascii="Cambria" w:hAnsi="Cambria" w:eastAsia="" w:cs="" w:asciiTheme="majorHAnsi" w:cstheme="majorBidi" w:eastAsiaTheme="majorEastAsia" w:hAnsiTheme="majorHAnsi"/>
      <w:color w:val="404040" w:themeColor="text1" w:themeTint="bf"/>
      <w:sz w:val="20"/>
      <w:szCs w:val="20"/>
      <w:lang w:val="en-US" w:eastAsia="en-US" w:bidi="en-US"/>
    </w:rPr>
  </w:style>
  <w:style w:type="character" w:styleId="91" w:customStyle="1">
    <w:name w:val="Заголовок 9 Знак"/>
    <w:basedOn w:val="DefaultParagraphFont"/>
    <w:semiHidden/>
    <w:qFormat/>
    <w:rsid w:val="00c65d01"/>
    <w:rPr>
      <w:rFonts w:ascii="Cambria" w:hAnsi="Cambria" w:eastAsia="" w:cs="" w:asciiTheme="majorHAnsi" w:cstheme="majorBidi" w:eastAsiaTheme="majorEastAsia" w:hAnsiTheme="majorHAnsi"/>
      <w:i/>
      <w:iCs/>
      <w:color w:val="404040" w:themeColor="text1" w:themeTint="bf"/>
      <w:sz w:val="20"/>
      <w:szCs w:val="20"/>
      <w:lang w:val="en-US" w:eastAsia="en-US" w:bidi="en-US"/>
    </w:rPr>
  </w:style>
  <w:style w:type="character" w:styleId="Style5" w:customStyle="1">
    <w:name w:val="Текст выноски Знак"/>
    <w:basedOn w:val="DefaultParagraphFont"/>
    <w:link w:val="BalloonText"/>
    <w:uiPriority w:val="99"/>
    <w:semiHidden/>
    <w:qFormat/>
    <w:rsid w:val="006b12cb"/>
    <w:rPr>
      <w:rFonts w:ascii="Tahoma" w:hAnsi="Tahoma" w:cs="Tahoma"/>
      <w:sz w:val="16"/>
      <w:szCs w:val="16"/>
    </w:rPr>
  </w:style>
  <w:style w:type="character" w:styleId="Style6" w:customStyle="1">
    <w:name w:val="Основной текст с отступом Знак"/>
    <w:basedOn w:val="DefaultParagraphFont"/>
    <w:qFormat/>
    <w:locked/>
    <w:rsid w:val="00d13b51"/>
    <w:rPr>
      <w:sz w:val="24"/>
    </w:rPr>
  </w:style>
  <w:style w:type="character" w:styleId="12" w:customStyle="1">
    <w:name w:val="Основной текст с отступом Знак1"/>
    <w:basedOn w:val="DefaultParagraphFont"/>
    <w:semiHidden/>
    <w:qFormat/>
    <w:rsid w:val="00d13b51"/>
    <w:rPr/>
  </w:style>
  <w:style w:type="character" w:styleId="Style7">
    <w:name w:val="Интернет-ссылка"/>
    <w:basedOn w:val="DefaultParagraphFont"/>
    <w:uiPriority w:val="99"/>
    <w:semiHidden/>
    <w:unhideWhenUsed/>
    <w:rsid w:val="000a0a49"/>
    <w:rPr>
      <w:color w:val="0000FF"/>
      <w:u w:val="single"/>
    </w:rPr>
  </w:style>
  <w:style w:type="character" w:styleId="Style8" w:customStyle="1">
    <w:name w:val="Текст примечания Знак"/>
    <w:basedOn w:val="DefaultParagraphFont"/>
    <w:link w:val="Annotationtext"/>
    <w:uiPriority w:val="99"/>
    <w:semiHidden/>
    <w:qFormat/>
    <w:locked/>
    <w:rsid w:val="00c65d01"/>
    <w:rPr>
      <w:rFonts w:ascii="Cambria" w:hAnsi="Cambria" w:eastAsia="" w:cs="" w:asciiTheme="majorHAnsi" w:cstheme="majorBidi" w:eastAsiaTheme="majorEastAsia" w:hAnsiTheme="majorHAnsi"/>
      <w:sz w:val="20"/>
      <w:szCs w:val="20"/>
      <w:lang w:val="en-US" w:eastAsia="en-US" w:bidi="en-US"/>
    </w:rPr>
  </w:style>
  <w:style w:type="character" w:styleId="Style9" w:customStyle="1">
    <w:name w:val="Верхний колонтитул Знак"/>
    <w:basedOn w:val="DefaultParagraphFont"/>
    <w:uiPriority w:val="99"/>
    <w:qFormat/>
    <w:locked/>
    <w:rsid w:val="00c65d01"/>
    <w:rPr>
      <w:rFonts w:ascii="Cambria" w:hAnsi="Cambria" w:eastAsia="" w:cs="" w:asciiTheme="majorHAnsi" w:cstheme="majorBidi" w:eastAsiaTheme="majorEastAsia" w:hAnsiTheme="majorHAnsi"/>
      <w:lang w:val="en-US" w:eastAsia="en-US" w:bidi="en-US"/>
    </w:rPr>
  </w:style>
  <w:style w:type="character" w:styleId="Style10" w:customStyle="1">
    <w:name w:val="Нижний колонтитул Знак"/>
    <w:basedOn w:val="DefaultParagraphFont"/>
    <w:uiPriority w:val="99"/>
    <w:qFormat/>
    <w:locked/>
    <w:rsid w:val="00c65d01"/>
    <w:rPr>
      <w:rFonts w:ascii="Cambria" w:hAnsi="Cambria" w:eastAsia="" w:cs="" w:asciiTheme="majorHAnsi" w:cstheme="majorBidi" w:eastAsiaTheme="majorEastAsia" w:hAnsiTheme="majorHAnsi"/>
      <w:lang w:val="en-US" w:eastAsia="en-US" w:bidi="en-US"/>
    </w:rPr>
  </w:style>
  <w:style w:type="character" w:styleId="Style11" w:customStyle="1">
    <w:name w:val="Название Знак"/>
    <w:basedOn w:val="DefaultParagraphFont"/>
    <w:qFormat/>
    <w:locked/>
    <w:rsid w:val="00c65d01"/>
    <w:rPr>
      <w:smallCaps/>
      <w:sz w:val="52"/>
      <w:szCs w:val="52"/>
    </w:rPr>
  </w:style>
  <w:style w:type="character" w:styleId="Style12" w:customStyle="1">
    <w:name w:val="Основной текст Знак"/>
    <w:basedOn w:val="DefaultParagraphFont"/>
    <w:uiPriority w:val="99"/>
    <w:qFormat/>
    <w:locked/>
    <w:rsid w:val="00c65d01"/>
    <w:rPr>
      <w:sz w:val="24"/>
    </w:rPr>
  </w:style>
  <w:style w:type="character" w:styleId="Style13" w:customStyle="1">
    <w:name w:val="Подзаголовок Знак"/>
    <w:basedOn w:val="DefaultParagraphFont"/>
    <w:qFormat/>
    <w:locked/>
    <w:rsid w:val="00c65d01"/>
    <w:rPr>
      <w:i/>
      <w:iCs/>
      <w:smallCaps/>
      <w:spacing w:val="10"/>
      <w:sz w:val="28"/>
      <w:szCs w:val="28"/>
    </w:rPr>
  </w:style>
  <w:style w:type="character" w:styleId="13" w:customStyle="1">
    <w:name w:val="Основной текст Знак1"/>
    <w:basedOn w:val="DefaultParagraphFont"/>
    <w:semiHidden/>
    <w:qFormat/>
    <w:rsid w:val="00c65d01"/>
    <w:rPr/>
  </w:style>
  <w:style w:type="character" w:styleId="Style14" w:customStyle="1">
    <w:name w:val="Красная строка Знак"/>
    <w:basedOn w:val="Style12"/>
    <w:link w:val="BodyTextIndent"/>
    <w:semiHidden/>
    <w:qFormat/>
    <w:locked/>
    <w:rsid w:val="00c65d01"/>
    <w:rPr>
      <w:sz w:val="20"/>
    </w:rPr>
  </w:style>
  <w:style w:type="character" w:styleId="22" w:customStyle="1">
    <w:name w:val="Красная строка 2 Знак"/>
    <w:basedOn w:val="Style6"/>
    <w:link w:val="BodyTextFirstIndent2"/>
    <w:semiHidden/>
    <w:qFormat/>
    <w:locked/>
    <w:rsid w:val="00c65d01"/>
    <w:rPr>
      <w:sz w:val="20"/>
    </w:rPr>
  </w:style>
  <w:style w:type="character" w:styleId="23" w:customStyle="1">
    <w:name w:val="Основной текст 2 Знак"/>
    <w:basedOn w:val="DefaultParagraphFont"/>
    <w:link w:val="BodyText2"/>
    <w:qFormat/>
    <w:locked/>
    <w:rsid w:val="00c65d01"/>
    <w:rPr>
      <w:i/>
      <w:sz w:val="24"/>
    </w:rPr>
  </w:style>
  <w:style w:type="character" w:styleId="32" w:customStyle="1">
    <w:name w:val="Основной текст 3 Знак"/>
    <w:basedOn w:val="DefaultParagraphFont"/>
    <w:link w:val="BodyText3"/>
    <w:semiHidden/>
    <w:qFormat/>
    <w:locked/>
    <w:rsid w:val="00c65d01"/>
    <w:rPr>
      <w:sz w:val="24"/>
    </w:rPr>
  </w:style>
  <w:style w:type="character" w:styleId="24" w:customStyle="1">
    <w:name w:val="Основной текст с отступом 2 Знак"/>
    <w:basedOn w:val="DefaultParagraphFont"/>
    <w:link w:val="BodyTextIndent2"/>
    <w:semiHidden/>
    <w:qFormat/>
    <w:locked/>
    <w:rsid w:val="00c65d01"/>
    <w:rPr>
      <w:sz w:val="24"/>
    </w:rPr>
  </w:style>
  <w:style w:type="character" w:styleId="33" w:customStyle="1">
    <w:name w:val="Основной текст с отступом 3 Знак"/>
    <w:basedOn w:val="DefaultParagraphFont"/>
    <w:link w:val="BodyTextIndent3"/>
    <w:qFormat/>
    <w:locked/>
    <w:rsid w:val="00c65d01"/>
    <w:rPr>
      <w:sz w:val="24"/>
    </w:rPr>
  </w:style>
  <w:style w:type="character" w:styleId="Style15" w:customStyle="1">
    <w:name w:val="Схема документа Знак"/>
    <w:basedOn w:val="DefaultParagraphFont"/>
    <w:link w:val="DocumentMap"/>
    <w:semiHidden/>
    <w:qFormat/>
    <w:locked/>
    <w:rsid w:val="00c65d01"/>
    <w:rPr>
      <w:rFonts w:ascii="Tahoma" w:hAnsi="Tahoma" w:cs="Tahoma"/>
      <w:sz w:val="16"/>
      <w:szCs w:val="16"/>
    </w:rPr>
  </w:style>
  <w:style w:type="character" w:styleId="Style16" w:customStyle="1">
    <w:name w:val="Текст Знак"/>
    <w:basedOn w:val="DefaultParagraphFont"/>
    <w:link w:val="PlainText"/>
    <w:qFormat/>
    <w:locked/>
    <w:rsid w:val="00c65d01"/>
    <w:rPr>
      <w:rFonts w:ascii="Courier New" w:hAnsi="Courier New" w:cs="Courier New"/>
    </w:rPr>
  </w:style>
  <w:style w:type="character" w:styleId="14" w:customStyle="1">
    <w:name w:val="Текст примечания Знак1"/>
    <w:basedOn w:val="DefaultParagraphFont"/>
    <w:uiPriority w:val="99"/>
    <w:semiHidden/>
    <w:qFormat/>
    <w:rsid w:val="00c65d01"/>
    <w:rPr>
      <w:sz w:val="20"/>
      <w:szCs w:val="20"/>
    </w:rPr>
  </w:style>
  <w:style w:type="character" w:styleId="Style17" w:customStyle="1">
    <w:name w:val="Тема примечания Знак"/>
    <w:basedOn w:val="Style8"/>
    <w:link w:val="Annotationsubject"/>
    <w:uiPriority w:val="99"/>
    <w:semiHidden/>
    <w:qFormat/>
    <w:locked/>
    <w:rsid w:val="00c65d01"/>
    <w:rPr>
      <w:rFonts w:ascii="Cambria" w:hAnsi="Cambria" w:eastAsia="" w:cs="" w:asciiTheme="majorHAnsi" w:cstheme="majorBidi" w:eastAsiaTheme="majorEastAsia" w:hAnsiTheme="majorHAnsi"/>
      <w:b/>
      <w:bCs/>
      <w:sz w:val="20"/>
      <w:szCs w:val="20"/>
      <w:lang w:val="en-US" w:eastAsia="en-US" w:bidi="en-US"/>
    </w:rPr>
  </w:style>
  <w:style w:type="character" w:styleId="25" w:customStyle="1">
    <w:name w:val="Цитата 2 Знак"/>
    <w:basedOn w:val="DefaultParagraphFont"/>
    <w:link w:val="Quote"/>
    <w:uiPriority w:val="29"/>
    <w:qFormat/>
    <w:locked/>
    <w:rsid w:val="00c65d01"/>
    <w:rPr>
      <w:i/>
      <w:iCs/>
    </w:rPr>
  </w:style>
  <w:style w:type="character" w:styleId="15" w:customStyle="1">
    <w:name w:val="Выделенная цитата Знак1"/>
    <w:basedOn w:val="DefaultParagraphFont"/>
    <w:link w:val="IntenseQuote"/>
    <w:uiPriority w:val="30"/>
    <w:qFormat/>
    <w:locked/>
    <w:rsid w:val="00c65d01"/>
    <w:rPr>
      <w:i/>
      <w:iCs/>
    </w:rPr>
  </w:style>
  <w:style w:type="character" w:styleId="16" w:customStyle="1">
    <w:name w:val="Название Знак1"/>
    <w:basedOn w:val="DefaultParagraphFont"/>
    <w:qFormat/>
    <w:rsid w:val="00c65d01"/>
    <w:rPr>
      <w:rFonts w:ascii="Cambria" w:hAnsi="Cambria" w:eastAsia="" w:cs="" w:asciiTheme="majorHAnsi" w:cstheme="majorBidi" w:eastAsiaTheme="majorEastAsia" w:hAnsiTheme="majorHAnsi"/>
      <w:color w:val="17365D" w:themeColor="text2" w:themeShade="bf"/>
      <w:spacing w:val="5"/>
      <w:kern w:val="2"/>
      <w:sz w:val="52"/>
      <w:szCs w:val="52"/>
    </w:rPr>
  </w:style>
  <w:style w:type="character" w:styleId="17" w:customStyle="1">
    <w:name w:val="Текст Знак1"/>
    <w:basedOn w:val="DefaultParagraphFont"/>
    <w:semiHidden/>
    <w:qFormat/>
    <w:rsid w:val="00c65d01"/>
    <w:rPr>
      <w:rFonts w:ascii="Consolas" w:hAnsi="Consolas"/>
      <w:sz w:val="21"/>
      <w:szCs w:val="21"/>
    </w:rPr>
  </w:style>
  <w:style w:type="character" w:styleId="211" w:customStyle="1">
    <w:name w:val="Основной текст с отступом 2 Знак1"/>
    <w:basedOn w:val="DefaultParagraphFont"/>
    <w:semiHidden/>
    <w:qFormat/>
    <w:rsid w:val="00c65d01"/>
    <w:rPr/>
  </w:style>
  <w:style w:type="character" w:styleId="311" w:customStyle="1">
    <w:name w:val="Основной текст с отступом 3 Знак1"/>
    <w:basedOn w:val="DefaultParagraphFont"/>
    <w:semiHidden/>
    <w:qFormat/>
    <w:rsid w:val="00c65d01"/>
    <w:rPr>
      <w:sz w:val="16"/>
      <w:szCs w:val="16"/>
    </w:rPr>
  </w:style>
  <w:style w:type="character" w:styleId="212" w:customStyle="1">
    <w:name w:val="Основной текст 2 Знак1"/>
    <w:basedOn w:val="DefaultParagraphFont"/>
    <w:semiHidden/>
    <w:qFormat/>
    <w:rsid w:val="00c65d01"/>
    <w:rPr/>
  </w:style>
  <w:style w:type="character" w:styleId="18" w:customStyle="1">
    <w:name w:val="Верхний колонтитул Знак1"/>
    <w:basedOn w:val="DefaultParagraphFont"/>
    <w:semiHidden/>
    <w:qFormat/>
    <w:rsid w:val="00c65d01"/>
    <w:rPr/>
  </w:style>
  <w:style w:type="character" w:styleId="312" w:customStyle="1">
    <w:name w:val="Основной текст 3 Знак1"/>
    <w:basedOn w:val="DefaultParagraphFont"/>
    <w:semiHidden/>
    <w:qFormat/>
    <w:rsid w:val="00c65d01"/>
    <w:rPr>
      <w:sz w:val="16"/>
      <w:szCs w:val="16"/>
    </w:rPr>
  </w:style>
  <w:style w:type="character" w:styleId="19" w:customStyle="1">
    <w:name w:val="Нижний колонтитул Знак1"/>
    <w:basedOn w:val="DefaultParagraphFont"/>
    <w:semiHidden/>
    <w:qFormat/>
    <w:rsid w:val="00c65d01"/>
    <w:rPr/>
  </w:style>
  <w:style w:type="character" w:styleId="110" w:customStyle="1">
    <w:name w:val="Подзаголовок Знак1"/>
    <w:basedOn w:val="DefaultParagraphFont"/>
    <w:qFormat/>
    <w:rsid w:val="00c65d01"/>
    <w:rPr>
      <w:rFonts w:ascii="Cambria" w:hAnsi="Cambria" w:eastAsia="" w:cs="" w:asciiTheme="majorHAnsi" w:cstheme="majorBidi" w:eastAsiaTheme="majorEastAsia" w:hAnsiTheme="majorHAnsi"/>
      <w:i/>
      <w:iCs/>
      <w:color w:val="4F81BD" w:themeColor="accent1"/>
      <w:spacing w:val="15"/>
      <w:sz w:val="24"/>
      <w:szCs w:val="24"/>
    </w:rPr>
  </w:style>
  <w:style w:type="character" w:styleId="111" w:customStyle="1">
    <w:name w:val="Красная строка Знак1"/>
    <w:basedOn w:val="13"/>
    <w:semiHidden/>
    <w:qFormat/>
    <w:rsid w:val="00c65d01"/>
    <w:rPr/>
  </w:style>
  <w:style w:type="character" w:styleId="213" w:customStyle="1">
    <w:name w:val="Красная строка 2 Знак1"/>
    <w:basedOn w:val="Style6"/>
    <w:semiHidden/>
    <w:qFormat/>
    <w:rsid w:val="00c65d01"/>
    <w:rPr>
      <w:sz w:val="24"/>
    </w:rPr>
  </w:style>
  <w:style w:type="character" w:styleId="112" w:customStyle="1">
    <w:name w:val="Схема документа Знак1"/>
    <w:basedOn w:val="DefaultParagraphFont"/>
    <w:semiHidden/>
    <w:qFormat/>
    <w:rsid w:val="00c65d01"/>
    <w:rPr>
      <w:rFonts w:ascii="Tahoma" w:hAnsi="Tahoma" w:cs="Tahoma"/>
      <w:sz w:val="16"/>
      <w:szCs w:val="16"/>
    </w:rPr>
  </w:style>
  <w:style w:type="character" w:styleId="113" w:customStyle="1">
    <w:name w:val="Тема примечания Знак1"/>
    <w:basedOn w:val="14"/>
    <w:uiPriority w:val="99"/>
    <w:semiHidden/>
    <w:qFormat/>
    <w:rsid w:val="00c65d01"/>
    <w:rPr>
      <w:b/>
      <w:bCs/>
      <w:sz w:val="20"/>
      <w:szCs w:val="20"/>
    </w:rPr>
  </w:style>
  <w:style w:type="character" w:styleId="214" w:customStyle="1">
    <w:name w:val="Цитата 2 Знак1"/>
    <w:basedOn w:val="DefaultParagraphFont"/>
    <w:uiPriority w:val="29"/>
    <w:qFormat/>
    <w:rsid w:val="00c65d01"/>
    <w:rPr>
      <w:i/>
      <w:iCs/>
      <w:color w:val="000000" w:themeColor="text1"/>
    </w:rPr>
  </w:style>
  <w:style w:type="character" w:styleId="Style18" w:customStyle="1">
    <w:name w:val="Выделенная цитата Знак"/>
    <w:basedOn w:val="DefaultParagraphFont"/>
    <w:uiPriority w:val="30"/>
    <w:qFormat/>
    <w:rsid w:val="00c65d01"/>
    <w:rPr>
      <w:b/>
      <w:bCs/>
      <w:i/>
      <w:iCs/>
      <w:color w:val="4F81BD" w:themeColor="accent1"/>
    </w:rPr>
  </w:style>
  <w:style w:type="character" w:styleId="Style19">
    <w:name w:val="Выделение"/>
    <w:qFormat/>
    <w:rsid w:val="00c65d01"/>
    <w:rPr>
      <w:b/>
      <w:bCs/>
      <w:i/>
      <w:iCs/>
      <w:spacing w:val="10"/>
    </w:rPr>
  </w:style>
  <w:style w:type="character" w:styleId="Match" w:customStyle="1">
    <w:name w:val="match"/>
    <w:basedOn w:val="DefaultParagraphFont"/>
    <w:qFormat/>
    <w:rsid w:val="003a79dc"/>
    <w:rPr/>
  </w:style>
  <w:style w:type="character" w:styleId="FontStyle12" w:customStyle="1">
    <w:name w:val="Font Style12"/>
    <w:qFormat/>
    <w:rsid w:val="001d5498"/>
    <w:rPr>
      <w:rFonts w:ascii="Times New Roman" w:hAnsi="Times New Roman" w:cs="Times New Roman"/>
      <w:sz w:val="24"/>
      <w:szCs w:val="24"/>
    </w:rPr>
  </w:style>
  <w:style w:type="character" w:styleId="FontStyle13" w:customStyle="1">
    <w:name w:val="Font Style13"/>
    <w:basedOn w:val="DefaultParagraphFont"/>
    <w:uiPriority w:val="99"/>
    <w:qFormat/>
    <w:rsid w:val="00fe74c6"/>
    <w:rPr>
      <w:rFonts w:ascii="Times New Roman" w:hAnsi="Times New Roman" w:cs="Times New Roman"/>
      <w:sz w:val="28"/>
      <w:szCs w:val="28"/>
    </w:rPr>
  </w:style>
  <w:style w:type="character" w:styleId="Blk3" w:customStyle="1">
    <w:name w:val="blk3"/>
    <w:basedOn w:val="DefaultParagraphFont"/>
    <w:qFormat/>
    <w:rsid w:val="00e253cc"/>
    <w:rPr>
      <w:vanish w:val="false"/>
    </w:rPr>
  </w:style>
  <w:style w:type="character" w:styleId="Style20">
    <w:name w:val="Посещённая гиперссылка"/>
    <w:uiPriority w:val="99"/>
    <w:semiHidden/>
    <w:unhideWhenUsed/>
    <w:rsid w:val="0048773f"/>
    <w:rPr>
      <w:color w:val="800080"/>
      <w:u w:val="single"/>
    </w:rPr>
  </w:style>
  <w:style w:type="character" w:styleId="Style21" w:customStyle="1">
    <w:name w:val="Обычный (веб) Знак"/>
    <w:link w:val="NormalWeb"/>
    <w:uiPriority w:val="99"/>
    <w:qFormat/>
    <w:locked/>
    <w:rsid w:val="00ac3801"/>
    <w:rPr>
      <w:rFonts w:ascii="Courier New" w:hAnsi="Courier New" w:eastAsia="" w:cs="" w:cstheme="majorBidi" w:eastAsiaTheme="majorEastAsia"/>
      <w:lang w:val="en-US" w:eastAsia="en-US" w:bidi="en-US"/>
    </w:rPr>
  </w:style>
  <w:style w:type="character" w:styleId="Style22" w:customStyle="1">
    <w:name w:val="Абзац списка Знак"/>
    <w:basedOn w:val="DefaultParagraphFont"/>
    <w:link w:val="ListParagraph"/>
    <w:uiPriority w:val="34"/>
    <w:qFormat/>
    <w:locked/>
    <w:rsid w:val="00976faa"/>
    <w:rPr/>
  </w:style>
  <w:style w:type="paragraph" w:styleId="Style23">
    <w:name w:val="Заголовок"/>
    <w:basedOn w:val="Normal"/>
    <w:next w:val="Style24"/>
    <w:qFormat/>
    <w:pPr>
      <w:keepNext w:val="true"/>
      <w:spacing w:before="240" w:after="120"/>
    </w:pPr>
    <w:rPr>
      <w:rFonts w:ascii="Liberation Sans" w:hAnsi="Liberation Sans" w:eastAsia="Noto Sans CJK SC" w:cs="Lohit Devanagari"/>
      <w:sz w:val="28"/>
      <w:szCs w:val="28"/>
    </w:rPr>
  </w:style>
  <w:style w:type="paragraph" w:styleId="Style24">
    <w:name w:val="Body Text"/>
    <w:basedOn w:val="Normal"/>
    <w:link w:val="Style12"/>
    <w:uiPriority w:val="99"/>
    <w:unhideWhenUsed/>
    <w:rsid w:val="00c65d01"/>
    <w:pPr>
      <w:spacing w:before="0" w:after="120"/>
    </w:pPr>
    <w:rPr>
      <w:sz w:val="24"/>
    </w:rPr>
  </w:style>
  <w:style w:type="paragraph" w:styleId="Style25">
    <w:name w:val="List"/>
    <w:basedOn w:val="Style24"/>
    <w:pPr/>
    <w:rPr>
      <w:rFonts w:cs="Lohit Devanagari"/>
    </w:rPr>
  </w:style>
  <w:style w:type="paragraph" w:styleId="Style26">
    <w:name w:val="Caption"/>
    <w:basedOn w:val="Normal"/>
    <w:qFormat/>
    <w:pPr>
      <w:suppressLineNumbers/>
      <w:spacing w:before="120" w:after="120"/>
    </w:pPr>
    <w:rPr>
      <w:rFonts w:cs="Lohit Devanagari"/>
      <w:i/>
      <w:iCs/>
      <w:sz w:val="24"/>
      <w:szCs w:val="24"/>
    </w:rPr>
  </w:style>
  <w:style w:type="paragraph" w:styleId="Style27">
    <w:name w:val="Указатель"/>
    <w:basedOn w:val="Normal"/>
    <w:qFormat/>
    <w:pPr>
      <w:suppressLineNumbers/>
    </w:pPr>
    <w:rPr>
      <w:rFonts w:cs="Lohit Devanagari"/>
    </w:rPr>
  </w:style>
  <w:style w:type="paragraph" w:styleId="NormalWeb">
    <w:name w:val="Normal (Web)"/>
    <w:basedOn w:val="Normal"/>
    <w:link w:val="Style21"/>
    <w:uiPriority w:val="99"/>
    <w:unhideWhenUsed/>
    <w:qFormat/>
    <w:rsid w:val="00f55953"/>
    <w:pPr/>
    <w:rPr>
      <w:rFonts w:ascii="Courier New" w:hAnsi="Courier New" w:eastAsia="" w:cs="" w:cstheme="majorBidi" w:eastAsiaTheme="majorEastAsia"/>
      <w:lang w:val="en-US" w:eastAsia="en-US" w:bidi="en-US"/>
    </w:rPr>
  </w:style>
  <w:style w:type="paragraph" w:styleId="Xl53" w:customStyle="1">
    <w:name w:val="xl53"/>
    <w:basedOn w:val="Normal"/>
    <w:qFormat/>
    <w:rsid w:val="00f55953"/>
    <w:pPr>
      <w:spacing w:beforeAutospacing="1" w:afterAutospacing="1"/>
      <w:jc w:val="right"/>
    </w:pPr>
    <w:rPr>
      <w:rFonts w:ascii="Times New Roman CYR" w:hAnsi="Times New Roman CYR" w:eastAsia="Arial Unicode MS" w:cs="Arial Unicode MS"/>
      <w:sz w:val="24"/>
      <w:szCs w:val="24"/>
      <w:lang w:val="en-US" w:eastAsia="en-US" w:bidi="en-US"/>
    </w:rPr>
  </w:style>
  <w:style w:type="paragraph" w:styleId="BalloonText">
    <w:name w:val="Balloon Text"/>
    <w:basedOn w:val="Normal"/>
    <w:link w:val="Style5"/>
    <w:uiPriority w:val="99"/>
    <w:semiHidden/>
    <w:unhideWhenUsed/>
    <w:qFormat/>
    <w:rsid w:val="006b12cb"/>
    <w:pPr>
      <w:spacing w:lineRule="auto" w:line="240" w:before="0" w:after="0"/>
    </w:pPr>
    <w:rPr>
      <w:rFonts w:ascii="Tahoma" w:hAnsi="Tahoma" w:cs="Tahoma"/>
      <w:sz w:val="16"/>
      <w:szCs w:val="16"/>
    </w:rPr>
  </w:style>
  <w:style w:type="paragraph" w:styleId="Style28">
    <w:name w:val="Body Text Indent"/>
    <w:basedOn w:val="Normal"/>
    <w:link w:val="Style6"/>
    <w:unhideWhenUsed/>
    <w:qFormat/>
    <w:rsid w:val="00d13b51"/>
    <w:pPr>
      <w:ind w:firstLine="720"/>
      <w:jc w:val="both"/>
    </w:pPr>
    <w:rPr>
      <w:sz w:val="24"/>
    </w:rPr>
  </w:style>
  <w:style w:type="paragraph" w:styleId="Xl63" w:customStyle="1">
    <w:name w:val="xl63"/>
    <w:basedOn w:val="Normal"/>
    <w:uiPriority w:val="99"/>
    <w:qFormat/>
    <w:rsid w:val="0042378d"/>
    <w:pPr>
      <w:pBdr>
        <w:left w:val="single" w:sz="4" w:space="0" w:color="000000"/>
        <w:bottom w:val="single" w:sz="4" w:space="0" w:color="000000"/>
        <w:right w:val="single" w:sz="4" w:space="0" w:color="000000"/>
      </w:pBdr>
      <w:spacing w:beforeAutospacing="1" w:afterAutospacing="1"/>
      <w:jc w:val="center"/>
    </w:pPr>
    <w:rPr>
      <w:rFonts w:ascii="Arial Unicode MS" w:hAnsi="Arial Unicode MS" w:eastAsia="Arial Unicode MS" w:cs="Arial Unicode MS"/>
      <w:sz w:val="24"/>
      <w:szCs w:val="24"/>
      <w:lang w:val="en-US" w:eastAsia="en-US" w:bidi="en-US"/>
    </w:rPr>
  </w:style>
  <w:style w:type="paragraph" w:styleId="Annotationtext">
    <w:name w:val="annotation text"/>
    <w:basedOn w:val="Normal"/>
    <w:link w:val="Style8"/>
    <w:uiPriority w:val="99"/>
    <w:semiHidden/>
    <w:unhideWhenUsed/>
    <w:qFormat/>
    <w:rsid w:val="00c65d01"/>
    <w:pPr>
      <w:spacing w:lineRule="auto" w:line="240"/>
    </w:pPr>
    <w:rPr>
      <w:rFonts w:ascii="Cambria" w:hAnsi="Cambria" w:eastAsia="" w:cs="" w:asciiTheme="majorHAnsi" w:cstheme="majorBidi" w:eastAsiaTheme="majorEastAsia" w:hAnsiTheme="majorHAnsi"/>
      <w:sz w:val="20"/>
      <w:szCs w:val="20"/>
      <w:lang w:val="en-US" w:eastAsia="en-US" w:bidi="en-US"/>
    </w:rPr>
  </w:style>
  <w:style w:type="paragraph" w:styleId="Style29">
    <w:name w:val="Колонтитул"/>
    <w:basedOn w:val="Normal"/>
    <w:qFormat/>
    <w:pPr/>
    <w:rPr/>
  </w:style>
  <w:style w:type="paragraph" w:styleId="Style30">
    <w:name w:val="Header"/>
    <w:basedOn w:val="Normal"/>
    <w:link w:val="Style9"/>
    <w:uiPriority w:val="99"/>
    <w:unhideWhenUsed/>
    <w:rsid w:val="00c65d01"/>
    <w:pPr>
      <w:tabs>
        <w:tab w:val="clear" w:pos="708"/>
        <w:tab w:val="center" w:pos="4677" w:leader="none"/>
        <w:tab w:val="right" w:pos="9355" w:leader="none"/>
      </w:tabs>
      <w:spacing w:lineRule="auto" w:line="240" w:before="0" w:after="0"/>
    </w:pPr>
    <w:rPr>
      <w:rFonts w:ascii="Cambria" w:hAnsi="Cambria" w:eastAsia="" w:cs="" w:asciiTheme="majorHAnsi" w:cstheme="majorBidi" w:eastAsiaTheme="majorEastAsia" w:hAnsiTheme="majorHAnsi"/>
      <w:lang w:val="en-US" w:eastAsia="en-US" w:bidi="en-US"/>
    </w:rPr>
  </w:style>
  <w:style w:type="paragraph" w:styleId="Style31">
    <w:name w:val="Footer"/>
    <w:basedOn w:val="Normal"/>
    <w:link w:val="Style10"/>
    <w:uiPriority w:val="99"/>
    <w:unhideWhenUsed/>
    <w:qFormat/>
    <w:rsid w:val="00c65d01"/>
    <w:pPr>
      <w:tabs>
        <w:tab w:val="clear" w:pos="708"/>
        <w:tab w:val="center" w:pos="4677" w:leader="none"/>
        <w:tab w:val="right" w:pos="9355" w:leader="none"/>
      </w:tabs>
      <w:spacing w:lineRule="auto" w:line="240" w:before="0" w:after="0"/>
    </w:pPr>
    <w:rPr>
      <w:rFonts w:ascii="Cambria" w:hAnsi="Cambria" w:eastAsia="" w:cs="" w:asciiTheme="majorHAnsi" w:cstheme="majorBidi" w:eastAsiaTheme="majorEastAsia" w:hAnsiTheme="majorHAnsi"/>
      <w:lang w:val="en-US" w:eastAsia="en-US" w:bidi="en-US"/>
    </w:rPr>
  </w:style>
  <w:style w:type="paragraph" w:styleId="Style32">
    <w:name w:val="Title"/>
    <w:basedOn w:val="Normal"/>
    <w:next w:val="Normal"/>
    <w:link w:val="Style11"/>
    <w:qFormat/>
    <w:rsid w:val="00c65d01"/>
    <w:pPr>
      <w:pBdr>
        <w:bottom w:val="single" w:sz="8" w:space="4" w:color="4F81BD"/>
      </w:pBdr>
      <w:spacing w:lineRule="auto" w:line="240" w:before="0" w:after="300"/>
      <w:contextualSpacing/>
    </w:pPr>
    <w:rPr>
      <w:smallCaps/>
      <w:sz w:val="52"/>
      <w:szCs w:val="52"/>
    </w:rPr>
  </w:style>
  <w:style w:type="paragraph" w:styleId="Style33">
    <w:name w:val="Subtitle"/>
    <w:basedOn w:val="Normal"/>
    <w:next w:val="Normal"/>
    <w:link w:val="Style13"/>
    <w:qFormat/>
    <w:rsid w:val="00c65d01"/>
    <w:pPr/>
    <w:rPr>
      <w:i/>
      <w:iCs/>
      <w:smallCaps/>
      <w:spacing w:val="10"/>
      <w:sz w:val="28"/>
      <w:szCs w:val="28"/>
    </w:rPr>
  </w:style>
  <w:style w:type="paragraph" w:styleId="BodyTextIndent">
    <w:name w:val="Body Text Indent"/>
    <w:basedOn w:val="Style24"/>
    <w:link w:val="Style14"/>
    <w:semiHidden/>
    <w:unhideWhenUsed/>
    <w:qFormat/>
    <w:rsid w:val="00c65d01"/>
    <w:pPr>
      <w:spacing w:before="0" w:after="200"/>
      <w:ind w:firstLine="360"/>
    </w:pPr>
    <w:rPr>
      <w:sz w:val="20"/>
    </w:rPr>
  </w:style>
  <w:style w:type="paragraph" w:styleId="BodyTextFirstIndent2">
    <w:name w:val="Body Text First Indent 2"/>
    <w:basedOn w:val="Style28"/>
    <w:link w:val="22"/>
    <w:semiHidden/>
    <w:unhideWhenUsed/>
    <w:qFormat/>
    <w:rsid w:val="00c65d01"/>
    <w:pPr>
      <w:ind w:left="360" w:firstLine="360"/>
      <w:jc w:val="left"/>
    </w:pPr>
    <w:rPr>
      <w:sz w:val="20"/>
    </w:rPr>
  </w:style>
  <w:style w:type="paragraph" w:styleId="BodyText2">
    <w:name w:val="Body Text 2"/>
    <w:basedOn w:val="Normal"/>
    <w:link w:val="23"/>
    <w:semiHidden/>
    <w:unhideWhenUsed/>
    <w:qFormat/>
    <w:rsid w:val="00c65d01"/>
    <w:pPr>
      <w:spacing w:lineRule="auto" w:line="480" w:before="0" w:after="120"/>
    </w:pPr>
    <w:rPr>
      <w:i/>
      <w:sz w:val="24"/>
    </w:rPr>
  </w:style>
  <w:style w:type="paragraph" w:styleId="BodyText3">
    <w:name w:val="Body Text 3"/>
    <w:basedOn w:val="Normal"/>
    <w:link w:val="32"/>
    <w:semiHidden/>
    <w:unhideWhenUsed/>
    <w:qFormat/>
    <w:rsid w:val="00c65d01"/>
    <w:pPr>
      <w:spacing w:before="0" w:after="120"/>
    </w:pPr>
    <w:rPr>
      <w:sz w:val="24"/>
    </w:rPr>
  </w:style>
  <w:style w:type="paragraph" w:styleId="BodyTextIndent2">
    <w:name w:val="Body Text Indent 2"/>
    <w:basedOn w:val="Normal"/>
    <w:link w:val="24"/>
    <w:semiHidden/>
    <w:unhideWhenUsed/>
    <w:qFormat/>
    <w:rsid w:val="00c65d01"/>
    <w:pPr>
      <w:spacing w:lineRule="auto" w:line="480" w:before="0" w:after="120"/>
      <w:ind w:left="283" w:hanging="0"/>
    </w:pPr>
    <w:rPr>
      <w:sz w:val="24"/>
    </w:rPr>
  </w:style>
  <w:style w:type="paragraph" w:styleId="BodyTextIndent3">
    <w:name w:val="Body Text Indent 3"/>
    <w:basedOn w:val="Normal"/>
    <w:link w:val="33"/>
    <w:unhideWhenUsed/>
    <w:qFormat/>
    <w:rsid w:val="00c65d01"/>
    <w:pPr>
      <w:spacing w:before="0" w:after="120"/>
      <w:ind w:left="283" w:hanging="0"/>
    </w:pPr>
    <w:rPr>
      <w:sz w:val="24"/>
    </w:rPr>
  </w:style>
  <w:style w:type="paragraph" w:styleId="DocumentMap">
    <w:name w:val="Document Map"/>
    <w:basedOn w:val="Normal"/>
    <w:link w:val="Style15"/>
    <w:semiHidden/>
    <w:unhideWhenUsed/>
    <w:qFormat/>
    <w:rsid w:val="00c65d01"/>
    <w:pPr>
      <w:spacing w:lineRule="auto" w:line="240" w:before="0" w:after="0"/>
    </w:pPr>
    <w:rPr>
      <w:rFonts w:ascii="Tahoma" w:hAnsi="Tahoma" w:cs="Tahoma"/>
      <w:sz w:val="16"/>
      <w:szCs w:val="16"/>
    </w:rPr>
  </w:style>
  <w:style w:type="paragraph" w:styleId="PlainText">
    <w:name w:val="Plain Text"/>
    <w:basedOn w:val="Normal"/>
    <w:link w:val="Style16"/>
    <w:unhideWhenUsed/>
    <w:qFormat/>
    <w:rsid w:val="00c65d01"/>
    <w:pPr>
      <w:spacing w:lineRule="auto" w:line="240" w:before="0" w:after="0"/>
    </w:pPr>
    <w:rPr>
      <w:rFonts w:ascii="Courier New" w:hAnsi="Courier New" w:cs="Courier New"/>
    </w:rPr>
  </w:style>
  <w:style w:type="paragraph" w:styleId="Annotationsubject">
    <w:name w:val="annotation subject"/>
    <w:basedOn w:val="Annotationtext"/>
    <w:next w:val="Annotationtext"/>
    <w:link w:val="Style17"/>
    <w:uiPriority w:val="99"/>
    <w:semiHidden/>
    <w:unhideWhenUsed/>
    <w:qFormat/>
    <w:rsid w:val="00c65d01"/>
    <w:pPr/>
    <w:rPr>
      <w:b/>
      <w:bCs/>
    </w:rPr>
  </w:style>
  <w:style w:type="paragraph" w:styleId="Quote">
    <w:name w:val="Quote"/>
    <w:basedOn w:val="Normal"/>
    <w:next w:val="Normal"/>
    <w:link w:val="25"/>
    <w:uiPriority w:val="29"/>
    <w:qFormat/>
    <w:rsid w:val="00c65d01"/>
    <w:pPr/>
    <w:rPr>
      <w:i/>
      <w:iCs/>
    </w:rPr>
  </w:style>
  <w:style w:type="paragraph" w:styleId="IntenseQuote">
    <w:name w:val="Intense Quote"/>
    <w:basedOn w:val="Normal"/>
    <w:next w:val="Normal"/>
    <w:link w:val="15"/>
    <w:uiPriority w:val="30"/>
    <w:qFormat/>
    <w:rsid w:val="00c65d01"/>
    <w:pPr>
      <w:pBdr>
        <w:bottom w:val="single" w:sz="4" w:space="4" w:color="4F81BD"/>
      </w:pBdr>
      <w:spacing w:before="200" w:after="280"/>
      <w:ind w:left="936" w:right="936" w:hanging="0"/>
    </w:pPr>
    <w:rPr>
      <w:i/>
      <w:iCs/>
    </w:rPr>
  </w:style>
  <w:style w:type="paragraph" w:styleId="Style34" w:customStyle="1">
    <w:name w:val="Обычный для таблиц"/>
    <w:basedOn w:val="Normal"/>
    <w:qFormat/>
    <w:rsid w:val="00206251"/>
    <w:pPr>
      <w:widowControl w:val="false"/>
      <w:spacing w:lineRule="auto" w:line="360"/>
      <w:jc w:val="both"/>
    </w:pPr>
    <w:rPr>
      <w:rFonts w:ascii="Times New Roman CYR" w:hAnsi="Times New Roman CYR" w:eastAsia="" w:cs="" w:cstheme="majorBidi" w:eastAsiaTheme="majorEastAsia"/>
      <w:sz w:val="26"/>
      <w:lang w:val="en-US" w:eastAsia="en-US" w:bidi="en-US"/>
    </w:rPr>
  </w:style>
  <w:style w:type="paragraph" w:styleId="NoSpacing">
    <w:name w:val="No Spacing"/>
    <w:uiPriority w:val="1"/>
    <w:qFormat/>
    <w:rsid w:val="000f6efc"/>
    <w:pPr>
      <w:widowControl/>
      <w:bidi w:val="0"/>
      <w:spacing w:lineRule="auto" w:line="240" w:before="0" w:after="0"/>
      <w:jc w:val="left"/>
    </w:pPr>
    <w:rPr>
      <w:rFonts w:ascii="Calibri" w:hAnsi="Calibri" w:eastAsia="Calibri" w:cs="Times New Roman" w:asciiTheme="minorHAnsi" w:hAnsiTheme="minorHAnsi"/>
      <w:color w:val="auto"/>
      <w:kern w:val="0"/>
      <w:sz w:val="22"/>
      <w:szCs w:val="22"/>
      <w:lang w:eastAsia="en-US" w:val="ru-RU" w:bidi="ar-SA"/>
    </w:rPr>
  </w:style>
  <w:style w:type="paragraph" w:styleId="ListParagraph">
    <w:name w:val="List Paragraph"/>
    <w:basedOn w:val="Normal"/>
    <w:link w:val="Style22"/>
    <w:uiPriority w:val="34"/>
    <w:qFormat/>
    <w:rsid w:val="007157fb"/>
    <w:pPr>
      <w:spacing w:before="0" w:after="200"/>
      <w:ind w:left="720" w:hanging="0"/>
      <w:contextualSpacing/>
    </w:pPr>
    <w:rPr/>
  </w:style>
  <w:style w:type="paragraph" w:styleId="Caption">
    <w:name w:val="caption"/>
    <w:basedOn w:val="Normal"/>
    <w:next w:val="Normal"/>
    <w:uiPriority w:val="35"/>
    <w:unhideWhenUsed/>
    <w:qFormat/>
    <w:rsid w:val="007e4087"/>
    <w:pPr/>
    <w:rPr>
      <w:rFonts w:ascii="Times New Roman" w:hAnsi="Times New Roman" w:eastAsia="Calibri" w:cs="Times New Roman"/>
      <w:b/>
      <w:bCs/>
      <w:sz w:val="20"/>
      <w:szCs w:val="20"/>
      <w:lang w:eastAsia="en-US"/>
    </w:rPr>
  </w:style>
  <w:style w:type="paragraph" w:styleId="ConsPlusNormal" w:customStyle="1">
    <w:name w:val="ConsPlusNormal"/>
    <w:qFormat/>
    <w:rsid w:val="00836f3d"/>
    <w:pPr>
      <w:widowControl w:val="false"/>
      <w:bidi w:val="0"/>
      <w:spacing w:lineRule="auto" w:line="240" w:before="0" w:after="0"/>
      <w:ind w:firstLine="720"/>
      <w:jc w:val="left"/>
    </w:pPr>
    <w:rPr>
      <w:rFonts w:ascii="Times New Roman" w:hAnsi="Times New Roman" w:eastAsia="Times New Roman" w:cs="Times New Roman"/>
      <w:color w:val="auto"/>
      <w:kern w:val="0"/>
      <w:sz w:val="28"/>
      <w:szCs w:val="28"/>
      <w:lang w:val="ru-RU" w:eastAsia="ru-RU" w:bidi="ar-SA"/>
    </w:rPr>
  </w:style>
  <w:style w:type="paragraph" w:styleId="Style35" w:customStyle="1">
    <w:name w:val="Таблицы (моноширинный)"/>
    <w:basedOn w:val="Normal"/>
    <w:next w:val="Normal"/>
    <w:qFormat/>
    <w:rsid w:val="00fc543c"/>
    <w:pPr>
      <w:widowControl w:val="false"/>
      <w:spacing w:lineRule="auto" w:line="240" w:before="0" w:after="0"/>
      <w:jc w:val="both"/>
    </w:pPr>
    <w:rPr>
      <w:rFonts w:ascii="Courier New" w:hAnsi="Courier New" w:eastAsia="Times New Roman" w:cs="Courier New"/>
      <w:sz w:val="20"/>
      <w:szCs w:val="20"/>
    </w:rPr>
  </w:style>
  <w:style w:type="paragraph" w:styleId="ConsNormal" w:customStyle="1">
    <w:name w:val="ConsNormal"/>
    <w:qFormat/>
    <w:rsid w:val="00fc543c"/>
    <w:pPr>
      <w:widowControl w:val="false"/>
      <w:bidi w:val="0"/>
      <w:spacing w:lineRule="auto" w:line="240" w:before="0" w:after="0"/>
      <w:ind w:right="19772" w:firstLine="720"/>
      <w:jc w:val="left"/>
    </w:pPr>
    <w:rPr>
      <w:rFonts w:ascii="Arial" w:hAnsi="Arial" w:eastAsia="Times New Roman" w:cs="Arial"/>
      <w:color w:val="auto"/>
      <w:kern w:val="0"/>
      <w:sz w:val="20"/>
      <w:szCs w:val="20"/>
      <w:lang w:val="ru-RU" w:eastAsia="ru-RU" w:bidi="ar-SA"/>
    </w:rPr>
  </w:style>
  <w:style w:type="paragraph" w:styleId="Style36" w:customStyle="1">
    <w:name w:val="Комментарий"/>
    <w:basedOn w:val="Normal"/>
    <w:next w:val="Normal"/>
    <w:qFormat/>
    <w:rsid w:val="00fc543c"/>
    <w:pPr>
      <w:spacing w:lineRule="auto" w:line="240" w:before="0" w:after="0"/>
      <w:ind w:left="170" w:hanging="0"/>
      <w:jc w:val="both"/>
    </w:pPr>
    <w:rPr>
      <w:rFonts w:ascii="Arial" w:hAnsi="Arial" w:eastAsia="Times New Roman" w:cs="Times New Roman"/>
      <w:i/>
      <w:iCs/>
      <w:color w:val="800080"/>
      <w:sz w:val="20"/>
      <w:szCs w:val="20"/>
    </w:rPr>
  </w:style>
  <w:style w:type="paragraph" w:styleId="ListNumber3">
    <w:name w:val="List Number 3"/>
    <w:basedOn w:val="Normal"/>
    <w:qFormat/>
    <w:rsid w:val="00622155"/>
    <w:pPr>
      <w:keepNext w:val="true"/>
      <w:suppressAutoHyphens w:val="true"/>
      <w:overflowPunct w:val="true"/>
      <w:spacing w:lineRule="auto" w:line="240" w:before="0" w:after="0"/>
      <w:ind w:left="750" w:hanging="750"/>
      <w:textAlignment w:val="baseline"/>
    </w:pPr>
    <w:rPr>
      <w:rFonts w:ascii="Times New Roman" w:hAnsi="Times New Roman" w:eastAsia="Times New Roman" w:cs="Times New Roman"/>
      <w:sz w:val="20"/>
      <w:szCs w:val="20"/>
    </w:rPr>
  </w:style>
  <w:style w:type="paragraph" w:styleId="Style37" w:customStyle="1">
    <w:name w:val="Основной с отступом"/>
    <w:basedOn w:val="Normal"/>
    <w:qFormat/>
    <w:rsid w:val="00fc72a4"/>
    <w:pPr>
      <w:spacing w:lineRule="auto" w:line="240" w:before="0" w:after="0"/>
      <w:ind w:firstLine="709"/>
      <w:jc w:val="both"/>
    </w:pPr>
    <w:rPr>
      <w:rFonts w:ascii="Times New Roman" w:hAnsi="Times New Roman" w:eastAsia="Times New Roman" w:cs="Times New Roman"/>
      <w:sz w:val="28"/>
      <w:szCs w:val="20"/>
      <w:lang w:eastAsia="ar-SA"/>
    </w:rPr>
  </w:style>
  <w:style w:type="paragraph" w:styleId="Xl64" w:customStyle="1">
    <w:name w:val="xl64"/>
    <w:basedOn w:val="Normal"/>
    <w:qFormat/>
    <w:rsid w:val="0048773f"/>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rPr>
  </w:style>
  <w:style w:type="paragraph" w:styleId="Xl65" w:customStyle="1">
    <w:name w:val="xl65"/>
    <w:basedOn w:val="Normal"/>
    <w:qFormat/>
    <w:rsid w:val="0048773f"/>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rPr>
  </w:style>
  <w:style w:type="paragraph" w:styleId="Xl66" w:customStyle="1">
    <w:name w:val="xl66"/>
    <w:basedOn w:val="Normal"/>
    <w:qFormat/>
    <w:rsid w:val="0048773f"/>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rPr>
  </w:style>
  <w:style w:type="paragraph" w:styleId="Xl67" w:customStyle="1">
    <w:name w:val="xl67"/>
    <w:basedOn w:val="Normal"/>
    <w:qFormat/>
    <w:rsid w:val="0048773f"/>
    <w:pPr>
      <w:pBdr>
        <w:top w:val="single" w:sz="4" w:space="0" w:color="000000"/>
        <w:left w:val="single" w:sz="4" w:space="0" w:color="000000"/>
        <w:bottom w:val="single" w:sz="4" w:space="0" w:color="000000"/>
        <w:right w:val="single" w:sz="4" w:space="0" w:color="000000"/>
      </w:pBdr>
      <w:shd w:val="clear" w:color="000000" w:fill="FFFF00"/>
      <w:spacing w:lineRule="auto" w:line="240" w:beforeAutospacing="1" w:afterAutospacing="1"/>
    </w:pPr>
    <w:rPr>
      <w:rFonts w:ascii="Times New Roman" w:hAnsi="Times New Roman" w:eastAsia="Times New Roman" w:cs="Times New Roman"/>
      <w:sz w:val="24"/>
      <w:szCs w:val="24"/>
    </w:rPr>
  </w:style>
  <w:style w:type="paragraph" w:styleId="Xl68" w:customStyle="1">
    <w:name w:val="xl68"/>
    <w:basedOn w:val="Normal"/>
    <w:qFormat/>
    <w:rsid w:val="0048773f"/>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sz w:val="24"/>
      <w:szCs w:val="24"/>
    </w:rPr>
  </w:style>
  <w:style w:type="paragraph" w:styleId="Xl69" w:customStyle="1">
    <w:name w:val="xl69"/>
    <w:basedOn w:val="Normal"/>
    <w:qFormat/>
    <w:rsid w:val="0048773f"/>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sz w:val="24"/>
      <w:szCs w:val="24"/>
    </w:rPr>
  </w:style>
  <w:style w:type="paragraph" w:styleId="Xl70" w:customStyle="1">
    <w:name w:val="xl70"/>
    <w:basedOn w:val="Normal"/>
    <w:qFormat/>
    <w:rsid w:val="0048773f"/>
    <w:pPr>
      <w:spacing w:lineRule="auto" w:line="240" w:beforeAutospacing="1" w:afterAutospacing="1"/>
      <w:textAlignment w:val="center"/>
    </w:pPr>
    <w:rPr>
      <w:rFonts w:ascii="Times New Roman" w:hAnsi="Times New Roman" w:eastAsia="Times New Roman" w:cs="Times New Roman"/>
      <w:sz w:val="24"/>
      <w:szCs w:val="24"/>
    </w:rPr>
  </w:style>
  <w:style w:type="paragraph" w:styleId="Xl71" w:customStyle="1">
    <w:name w:val="xl71"/>
    <w:basedOn w:val="Normal"/>
    <w:qFormat/>
    <w:rsid w:val="0048773f"/>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rPr>
  </w:style>
  <w:style w:type="paragraph" w:styleId="Xl72" w:customStyle="1">
    <w:name w:val="xl72"/>
    <w:basedOn w:val="Normal"/>
    <w:qFormat/>
    <w:rsid w:val="0048773f"/>
    <w:pPr>
      <w:pBdr>
        <w:left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rPr>
  </w:style>
  <w:style w:type="paragraph" w:styleId="Xl73" w:customStyle="1">
    <w:name w:val="xl73"/>
    <w:basedOn w:val="Normal"/>
    <w:qFormat/>
    <w:rsid w:val="0048773f"/>
    <w:pPr>
      <w:pBdr>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rPr>
  </w:style>
  <w:style w:type="paragraph" w:styleId="Xl74" w:customStyle="1">
    <w:name w:val="xl74"/>
    <w:basedOn w:val="Normal"/>
    <w:qFormat/>
    <w:rsid w:val="0048773f"/>
    <w:pPr>
      <w:pBdr>
        <w:top w:val="single" w:sz="4" w:space="0" w:color="000000"/>
        <w:left w:val="single" w:sz="4" w:space="0" w:color="000000"/>
        <w:right w:val="single" w:sz="4" w:space="0" w:color="000000"/>
      </w:pBdr>
      <w:shd w:val="clear" w:color="000000" w:fill="FFFF00"/>
      <w:spacing w:lineRule="auto" w:line="240" w:beforeAutospacing="1" w:afterAutospacing="1"/>
    </w:pPr>
    <w:rPr>
      <w:rFonts w:ascii="Times New Roman" w:hAnsi="Times New Roman" w:eastAsia="Times New Roman" w:cs="Times New Roman"/>
      <w:sz w:val="24"/>
      <w:szCs w:val="24"/>
    </w:rPr>
  </w:style>
  <w:style w:type="paragraph" w:styleId="Xl75" w:customStyle="1">
    <w:name w:val="xl75"/>
    <w:basedOn w:val="Normal"/>
    <w:qFormat/>
    <w:rsid w:val="0048773f"/>
    <w:pPr>
      <w:pBdr>
        <w:left w:val="single" w:sz="4" w:space="0" w:color="000000"/>
        <w:right w:val="single" w:sz="4" w:space="0" w:color="000000"/>
      </w:pBdr>
      <w:shd w:val="clear" w:color="000000" w:fill="FFFF00"/>
      <w:spacing w:lineRule="auto" w:line="240" w:beforeAutospacing="1" w:afterAutospacing="1"/>
    </w:pPr>
    <w:rPr>
      <w:rFonts w:ascii="Times New Roman" w:hAnsi="Times New Roman" w:eastAsia="Times New Roman" w:cs="Times New Roman"/>
      <w:sz w:val="24"/>
      <w:szCs w:val="24"/>
    </w:rPr>
  </w:style>
  <w:style w:type="paragraph" w:styleId="Xl76" w:customStyle="1">
    <w:name w:val="xl76"/>
    <w:basedOn w:val="Normal"/>
    <w:qFormat/>
    <w:rsid w:val="0048773f"/>
    <w:pPr>
      <w:pBdr>
        <w:left w:val="single" w:sz="4" w:space="0" w:color="000000"/>
        <w:bottom w:val="single" w:sz="4" w:space="0" w:color="000000"/>
        <w:right w:val="single" w:sz="4" w:space="0" w:color="000000"/>
      </w:pBdr>
      <w:shd w:val="clear" w:color="000000" w:fill="FFFF00"/>
      <w:spacing w:lineRule="auto" w:line="240" w:beforeAutospacing="1" w:afterAutospacing="1"/>
    </w:pPr>
    <w:rPr>
      <w:rFonts w:ascii="Times New Roman" w:hAnsi="Times New Roman" w:eastAsia="Times New Roman" w:cs="Times New Roman"/>
      <w:sz w:val="24"/>
      <w:szCs w:val="24"/>
    </w:rPr>
  </w:style>
  <w:style w:type="paragraph" w:styleId="Style38" w:customStyle="1">
    <w:name w:val="Основной для текста отчета"/>
    <w:basedOn w:val="Normal"/>
    <w:qFormat/>
    <w:rsid w:val="00774dd2"/>
    <w:pPr>
      <w:spacing w:lineRule="auto" w:line="360" w:before="0" w:after="0"/>
      <w:ind w:firstLine="709"/>
    </w:pPr>
    <w:rPr>
      <w:rFonts w:ascii="Times New Roman" w:hAnsi="Times New Roman" w:eastAsia="Times New Roman" w:cs="Times New Roman"/>
      <w:sz w:val="24"/>
      <w:szCs w:val="24"/>
    </w:rPr>
  </w:style>
  <w:style w:type="paragraph" w:styleId="CharChar" w:customStyle="1">
    <w:name w:val="Знак Знак Char Char"/>
    <w:basedOn w:val="Normal"/>
    <w:qFormat/>
    <w:rsid w:val="00976faa"/>
    <w:pPr>
      <w:widowControl w:val="false"/>
      <w:spacing w:lineRule="auto" w:line="240" w:before="0" w:after="0"/>
      <w:jc w:val="both"/>
    </w:pPr>
    <w:rPr>
      <w:rFonts w:ascii="Arial" w:hAnsi="Arial" w:eastAsia="SimSun" w:cs="Arial"/>
      <w:kern w:val="2"/>
      <w:sz w:val="21"/>
      <w:szCs w:val="24"/>
      <w:lang w:val="en-US" w:eastAsia="zh-CN"/>
    </w:rPr>
  </w:style>
  <w:style w:type="numbering" w:styleId="NoList" w:default="1">
    <w:name w:val="No List"/>
    <w:uiPriority w:val="99"/>
    <w:semiHidden/>
    <w:unhideWhenUsed/>
    <w:qFormat/>
  </w:style>
  <w:style w:type="numbering" w:styleId="114" w:customStyle="1">
    <w:name w:val="Нет списка1"/>
    <w:uiPriority w:val="99"/>
    <w:semiHidden/>
    <w:unhideWhenUsed/>
    <w:qFormat/>
    <w:rsid w:val="00976faa"/>
  </w:style>
  <w:style w:type="table" w:default="1" w:styleId="a1">
    <w:name w:val="Normal Table"/>
    <w:uiPriority w:val="99"/>
    <w:semiHidden/>
    <w:unhideWhenUsed/>
    <w:tblPr>
      <w:tblCellMar>
        <w:top w:w="0" w:type="dxa"/>
        <w:left w:w="108" w:type="dxa"/>
        <w:bottom w:w="0" w:type="dxa"/>
        <w:right w:w="108" w:type="dxa"/>
      </w:tblCellMar>
    </w:tblPr>
  </w:style>
  <w:style w:type="table" w:styleId="a5">
    <w:name w:val="Table Grid"/>
    <w:basedOn w:val="a1"/>
    <w:uiPriority w:val="59"/>
    <w:rsid w:val="00f55953"/>
    <w:rPr>
      <w:rFonts w:asciiTheme="majorHAnsi" w:hAnsiTheme="majorHAnsi" w:eastAsiaTheme="majorEastAsia" w:cstheme="majorBidi"/>
      <w:lang w:val="en-US"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e">
    <w:name w:val="Сетка таблицы1"/>
    <w:basedOn w:val="a1"/>
    <w:uiPriority w:val="59"/>
    <w:rsid w:val="00976faa"/>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commons.wikimedia.org/wiki/File:Full_coat_of_arms_of_Primorsky_Krai.svg?uselang=ru" TargetMode="External"/><Relationship Id="rId4" Type="http://schemas.openxmlformats.org/officeDocument/2006/relationships/hyperlink" Target="https://ru.wikipedia.org/wiki/20_&#1086;&#1082;&#1090;&#1103;&#1073;&#1088;&#1103;" TargetMode="External"/><Relationship Id="rId5" Type="http://schemas.openxmlformats.org/officeDocument/2006/relationships/hyperlink" Target="https://ru.wikipedia.org/wiki/1938_&#1075;&#1086;&#1076;" TargetMode="External"/><Relationship Id="rId6" Type="http://schemas.openxmlformats.org/officeDocument/2006/relationships/hyperlink" Target="https://ru.wikipedia.org/wiki/&#1057;&#1057;&#1057;&#1056;" TargetMode="External"/><Relationship Id="rId7" Type="http://schemas.openxmlformats.org/officeDocument/2006/relationships/hyperlink" Target="https://ru.wikipedia.org/wiki/&#1044;&#1072;&#1083;&#1100;&#1085;&#1077;&#1074;&#1086;&#1089;&#1090;&#1086;&#1095;&#1085;&#1099;&#1081;_&#1082;&#1088;&#1072;&#1081;" TargetMode="External"/><Relationship Id="rId8" Type="http://schemas.openxmlformats.org/officeDocument/2006/relationships/hyperlink" Target="https://ru.wikipedia.org/wiki/&#1042;&#1083;&#1072;&#1076;&#1080;&#1074;&#1086;&#1089;&#1090;&#1086;&#1082;" TargetMode="External"/><Relationship Id="rId9" Type="http://schemas.openxmlformats.org/officeDocument/2006/relationships/hyperlink" Target="https://ru.wikipedia.org/wiki/&#1056;&#1086;&#1089;&#1089;&#1080;&#1103;" TargetMode="External"/><Relationship Id="rId10" Type="http://schemas.openxmlformats.org/officeDocument/2006/relationships/hyperlink" Target="https://ru.wikipedia.org/wiki/&#1061;&#1072;&#1073;&#1072;&#1088;&#1086;&#1074;&#1089;&#1082;&#1080;&#1081;_&#1082;&#1088;&#1072;&#1081;" TargetMode="External"/><Relationship Id="rId11" Type="http://schemas.openxmlformats.org/officeDocument/2006/relationships/hyperlink" Target="https://ru.wikipedia.org/wiki/&#1050;&#1080;&#1090;&#1072;&#1081;" TargetMode="External"/><Relationship Id="rId12" Type="http://schemas.openxmlformats.org/officeDocument/2006/relationships/hyperlink" Target="https://ru.wikipedia.org/wiki/&#1050;&#1086;&#1088;&#1077;&#1081;&#1089;&#1082;&#1072;&#1103;_&#1053;&#1072;&#1088;&#1086;&#1076;&#1085;&#1086;-&#1044;&#1077;&#1084;&#1086;&#1082;&#1088;&#1072;&#1090;&#1080;&#1095;&#1077;&#1089;&#1082;&#1072;&#1103;_&#1056;&#1077;&#1089;&#1087;&#1091;&#1073;&#1083;&#1080;&#1082;&#1072;" TargetMode="External"/><Relationship Id="rId13" Type="http://schemas.openxmlformats.org/officeDocument/2006/relationships/hyperlink" Target="https://ru.wikipedia.org/wiki/&#1071;&#1087;&#1086;&#1085;&#1089;&#1082;&#1086;&#1077;_&#1084;&#1086;&#1088;&#1077;" TargetMode="External"/><Relationship Id="rId14" Type="http://schemas.openxmlformats.org/officeDocument/2006/relationships/hyperlink" Target="https://ru.wikipedia.org/wiki/&#1047;&#1072;&#1083;&#1080;&#1074;_&#1055;&#1077;&#1090;&#1088;&#1072;_&#1042;&#1077;&#1083;&#1080;&#1082;&#1086;&#1075;&#1086;" TargetMode="External"/><Relationship Id="rId15" Type="http://schemas.openxmlformats.org/officeDocument/2006/relationships/hyperlink" Target="https://ru.wikipedia.org/wiki/&#1040;&#1084;&#1091;&#1088;&#1089;&#1082;&#1080;&#1081;_&#1079;&#1072;&#1083;&#1080;&#1074;" TargetMode="External"/><Relationship Id="rId16" Type="http://schemas.openxmlformats.org/officeDocument/2006/relationships/hyperlink" Target="https://ru.wikipedia.org/wiki/&#1059;&#1089;&#1089;&#1091;&#1088;&#1080;&#1081;&#1089;&#1082;&#1080;&#1081;_&#1079;&#1072;&#1083;&#1080;&#1074;" TargetMode="External"/><Relationship Id="rId17" Type="http://schemas.openxmlformats.org/officeDocument/2006/relationships/hyperlink" Target="https://ru.wikipedia.org/wiki/&#1047;&#1072;&#1083;&#1080;&#1074;_&#1055;&#1086;&#1089;&#1100;&#1077;&#1090;&#1072;" TargetMode="External"/><Relationship Id="rId18" Type="http://schemas.openxmlformats.org/officeDocument/2006/relationships/hyperlink" Target="https://ru.wikipedia.org/wiki/&#1042;&#1086;&#1089;&#1090;&#1086;&#1082;_(&#1079;&#1072;&#1083;&#1080;&#1074;)" TargetMode="External"/><Relationship Id="rId19" Type="http://schemas.openxmlformats.org/officeDocument/2006/relationships/hyperlink" Target="https://ru.wikipedia.org/wiki/&#1058;&#1091;&#1084;&#1072;&#1085;&#1085;&#1072;&#1103;_(&#1088;&#1077;&#1082;&#1072;)" TargetMode="External"/><Relationship Id="rId20" Type="http://schemas.openxmlformats.org/officeDocument/2006/relationships/hyperlink" Target="https://ru.wikipedia.org/wiki/&#1057;&#1072;&#1084;&#1072;&#1088;&#1075;&#1072;_(&#1088;&#1077;&#1082;&#1072;)" TargetMode="External"/><Relationship Id="rId21" Type="http://schemas.openxmlformats.org/officeDocument/2006/relationships/hyperlink" Target="https://ru.wikipedia.org/wiki/&#1057;&#1080;&#1093;&#1086;&#1090;&#1101;-&#1040;&#1083;&#1080;&#1085;&#1100;" TargetMode="External"/><Relationship Id="rId22" Type="http://schemas.openxmlformats.org/officeDocument/2006/relationships/hyperlink" Target="https://ru.wikipedia.org/wiki/&#1055;&#1088;&#1080;&#1093;&#1072;&#1085;&#1082;&#1072;&#1081;&#1089;&#1082;&#1072;&#1103;_&#1085;&#1080;&#1079;&#1084;&#1077;&#1085;&#1085;&#1086;&#1089;&#1090;&#1100;" TargetMode="External"/><Relationship Id="rId23" Type="http://schemas.openxmlformats.org/officeDocument/2006/relationships/hyperlink" Target="https://ru.wikipedia.org/wiki/&#1040;&#1085;&#1080;&#1082;_(&#1075;&#1086;&#1088;&#1072;)" TargetMode="External"/><Relationship Id="rId24" Type="http://schemas.openxmlformats.org/officeDocument/2006/relationships/hyperlink" Target="https://ru.wikipedia.org/wiki/&#1056;&#1091;&#1089;&#1089;&#1082;&#1080;&#1081;_(&#1086;&#1089;&#1090;&#1088;&#1086;&#1074;,_&#1055;&#1088;&#1080;&#1084;&#1086;&#1088;&#1089;&#1082;&#1080;&#1081;_&#1082;&#1088;&#1072;&#1081;)" TargetMode="External"/><Relationship Id="rId25" Type="http://schemas.openxmlformats.org/officeDocument/2006/relationships/hyperlink" Target="https://ru.wikipedia.org/wiki/&#1054;&#1089;&#1090;&#1088;&#1086;&#1074;_&#1055;&#1091;&#1090;&#1103;&#1090;&#1080;&#1085;&#1072;" TargetMode="External"/><Relationship Id="rId26" Type="http://schemas.openxmlformats.org/officeDocument/2006/relationships/hyperlink" Target="https://ru.wikipedia.org/wiki/&#1040;&#1089;&#1082;&#1086;&#1083;&#1100;&#1076;_(&#1086;&#1089;&#1090;&#1088;&#1086;&#1074;)" TargetMode="External"/><Relationship Id="rId27" Type="http://schemas.openxmlformats.org/officeDocument/2006/relationships/hyperlink" Target="https://ru.wikipedia.org/wiki/&#1054;&#1089;&#1090;&#1088;&#1086;&#1074;_&#1055;&#1086;&#1087;&#1086;&#1074;&#1072;" TargetMode="External"/><Relationship Id="rId28" Type="http://schemas.openxmlformats.org/officeDocument/2006/relationships/hyperlink" Target="https://ru.wikipedia.org/wiki/&#1054;&#1089;&#1090;&#1088;&#1086;&#1074;_&#1056;&#1080;&#1082;&#1086;&#1088;&#1076;&#1072;" TargetMode="External"/><Relationship Id="rId29" Type="http://schemas.openxmlformats.org/officeDocument/2006/relationships/hyperlink" Target="https://ru.wikipedia.org/wiki/&#1056;&#1077;&#1081;&#1085;&#1077;&#1082;&#1077;_(&#1086;&#1089;&#1090;&#1088;&#1086;&#1074;,_&#1071;&#1087;&#1086;&#1085;&#1089;&#1082;&#1086;&#1077;_&#1084;&#1086;&#1088;&#1077;)" TargetMode="External"/><Relationship Id="rId30" Type="http://schemas.openxmlformats.org/officeDocument/2006/relationships/hyperlink" Target="https://ru.wikipedia.org/wiki/&#1041;&#1086;&#1083;&#1100;&#1096;&#1086;&#1081;_&#1055;&#1077;&#1083;&#1080;&#1089;" TargetMode="External"/><Relationship Id="rId31" Type="http://schemas.openxmlformats.org/officeDocument/2006/relationships/hyperlink" Target="https://ru.wikipedia.org/wiki/&#1061;&#1072;&#1085;&#1082;&#1072;_(&#1086;&#1079;&#1077;&#1088;&#1086;)" TargetMode="External"/><Relationship Id="rId32" Type="http://schemas.openxmlformats.org/officeDocument/2006/relationships/hyperlink" Target="https://ru.wikipedia.org/wiki/&#1059;&#1089;&#1089;&#1091;&#1088;&#1080;" TargetMode="External"/><Relationship Id="rId33" Type="http://schemas.openxmlformats.org/officeDocument/2006/relationships/hyperlink" Target="https://ru.wikipedia.org/wiki/&#1057;&#1085;&#1077;&#1078;&#1085;&#1072;&#1103;_(&#1075;&#1086;&#1088;&#1072;,_&#1055;&#1088;&#1080;&#1084;&#1086;&#1088;&#1089;&#1082;&#1080;&#1081;_&#1082;&#1088;&#1072;&#1081;)" TargetMode="External"/><Relationship Id="rId34" Type="http://schemas.openxmlformats.org/officeDocument/2006/relationships/hyperlink" Target="https://ru.wikipedia.org/wiki/&#1054;&#1073;&#1083;&#1072;&#1095;&#1085;&#1072;&#1103;" TargetMode="External"/><Relationship Id="rId35" Type="http://schemas.openxmlformats.org/officeDocument/2006/relationships/hyperlink" Target="https://ru.wikipedia.org/wiki/&#1059;&#1084;&#1077;&#1088;&#1077;&#1085;&#1085;&#1099;&#1081;_&#1082;&#1083;&#1080;&#1084;&#1072;&#1090;" TargetMode="External"/><Relationship Id="rId36" Type="http://schemas.openxmlformats.org/officeDocument/2006/relationships/hyperlink" Target="https://ru.wikipedia.org/wiki/&#1052;&#1091;&#1089;&#1089;&#1086;&#1085;&#1085;&#1099;&#1081;_&#1082;&#1083;&#1080;&#1084;&#1072;&#1090;" TargetMode="External"/><Relationship Id="rId37" Type="http://schemas.openxmlformats.org/officeDocument/2006/relationships/hyperlink" Target="https://ru.wikipedia.org/wiki/&#1058;&#1088;&#1086;&#1087;&#1080;&#1095;&#1077;&#1089;&#1082;&#1080;&#1081;_&#1094;&#1080;&#1082;&#1083;&#1086;&#1085;" TargetMode="External"/><Relationship Id="rId38" Type="http://schemas.openxmlformats.org/officeDocument/2006/relationships/hyperlink" Target="https://ru.wikipedia.org/wiki/&#1050;&#1088;&#1072;&#1081;&#1085;&#1080;&#1081;_&#1057;&#1077;&#1074;&#1077;&#1088;" TargetMode="External"/><Relationship Id="rId39" Type="http://schemas.openxmlformats.org/officeDocument/2006/relationships/hyperlink" Target="https://ru.wikipedia.org/wiki/&#1044;&#1072;&#1083;&#1100;&#1085;&#1077;&#1075;&#1086;&#1088;&#1089;&#1082;&#1080;&#1081;_&#1075;&#1086;&#1088;&#1086;&#1076;&#1089;&#1082;&#1086;&#1081;_&#1086;&#1082;&#1088;&#1091;&#1075;" TargetMode="External"/><Relationship Id="rId40" Type="http://schemas.openxmlformats.org/officeDocument/2006/relationships/hyperlink" Target="https://ru.wikipedia.org/wiki/&#1050;&#1072;&#1074;&#1072;&#1083;&#1077;&#1088;&#1086;&#1074;&#1089;&#1082;&#1080;&#1081;_&#1088;&#1072;&#1081;&#1086;&#1085;" TargetMode="External"/><Relationship Id="rId41" Type="http://schemas.openxmlformats.org/officeDocument/2006/relationships/hyperlink" Target="https://ru.wikipedia.org/wiki/&#1054;&#1083;&#1100;&#1075;&#1080;&#1085;&#1089;&#1082;&#1080;&#1081;_&#1088;&#1072;&#1081;&#1086;&#1085;" TargetMode="External"/><Relationship Id="rId42" Type="http://schemas.openxmlformats.org/officeDocument/2006/relationships/hyperlink" Target="https://ru.wikipedia.org/wiki/&#1058;&#1077;&#1088;&#1085;&#1077;&#1081;&#1089;&#1082;&#1080;&#1081;_&#1088;&#1072;&#1081;&#1086;&#1085;" TargetMode="External"/><Relationship Id="rId43" Type="http://schemas.openxmlformats.org/officeDocument/2006/relationships/hyperlink" Target="https://ru.wikipedia.org/wiki/&#1042;&#1086;&#1089;&#1090;&#1086;&#1082;_(&#1055;&#1088;&#1080;&#1084;&#1086;&#1088;&#1089;&#1082;&#1080;&#1081;_&#1082;&#1088;&#1072;&#1081;)" TargetMode="External"/><Relationship Id="rId44" Type="http://schemas.openxmlformats.org/officeDocument/2006/relationships/hyperlink" Target="https://ru.wikipedia.org/wiki/&#1050;&#1088;&#1072;&#1089;&#1085;&#1086;&#1072;&#1088;&#1084;&#1077;&#1081;&#1089;&#1082;&#1080;&#1081;_&#1088;&#1072;&#1081;&#1086;&#1085;_(&#1055;&#1088;&#1080;&#1084;&#1086;&#1088;&#1089;&#1082;&#1080;&#1081;_&#1082;&#1088;&#1072;&#1081;)" TargetMode="External"/><Relationship Id="rId45" Type="http://schemas.openxmlformats.org/officeDocument/2006/relationships/hyperlink" Target="https://ru.wikipedia.org/wiki/&#1041;&#1086;&#1075;&#1091;&#1089;&#1083;&#1072;&#1074;&#1077;&#1094;_(&#1055;&#1088;&#1080;&#1084;&#1086;&#1088;&#1089;&#1082;&#1080;&#1081;_&#1082;&#1088;&#1072;&#1081;)" TargetMode="External"/><Relationship Id="rId46" Type="http://schemas.openxmlformats.org/officeDocument/2006/relationships/hyperlink" Target="https://ru.wikipedia.org/wiki/&#1042;&#1086;&#1089;&#1090;&#1088;&#1077;&#1094;&#1086;&#1074;&#1086;_(&#1055;&#1088;&#1080;&#1084;&#1086;&#1088;&#1089;&#1082;&#1080;&#1081;_&#1082;&#1088;&#1072;&#1081;)" TargetMode="External"/><Relationship Id="rId47" Type="http://schemas.openxmlformats.org/officeDocument/2006/relationships/hyperlink" Target="https://ru.wikipedia.org/wiki/&#1044;&#1072;&#1083;&#1100;&#1085;&#1080;&#1081;_&#1050;&#1091;&#1090;" TargetMode="External"/><Relationship Id="rId48" Type="http://schemas.openxmlformats.org/officeDocument/2006/relationships/hyperlink" Target="https://ru.wikipedia.org/wiki/&#1048;&#1079;&#1084;&#1072;&#1081;&#1083;&#1080;&#1093;&#1072;" TargetMode="External"/><Relationship Id="rId49" Type="http://schemas.openxmlformats.org/officeDocument/2006/relationships/hyperlink" Target="https://ru.wikipedia.org/wiki/&#1052;&#1077;&#1083;&#1100;&#1085;&#1080;&#1095;&#1085;&#1086;&#1077;_(&#1050;&#1088;&#1072;&#1089;&#1085;&#1086;&#1072;&#1088;&#1084;&#1077;&#1081;&#1089;&#1082;&#1080;&#1081;_&#1088;&#1072;&#1081;&#1086;&#1085;)" TargetMode="External"/><Relationship Id="rId50" Type="http://schemas.openxmlformats.org/officeDocument/2006/relationships/hyperlink" Target="https://ru.wikipedia.org/wiki/&#1056;&#1086;&#1097;&#1080;&#1085;&#1086;_(&#1055;&#1088;&#1080;&#1084;&#1086;&#1088;&#1089;&#1082;&#1080;&#1081;_&#1082;&#1088;&#1072;&#1081;)" TargetMode="External"/><Relationship Id="rId51" Type="http://schemas.openxmlformats.org/officeDocument/2006/relationships/hyperlink" Target="https://ru.wikipedia.org/wiki/&#1058;&#1072;&#1105;&#1078;&#1085;&#1086;&#1077;_(&#1055;&#1088;&#1080;&#1084;&#1086;&#1088;&#1089;&#1082;&#1080;&#1081;_&#1082;&#1088;&#1072;&#1081;)" TargetMode="External"/><Relationship Id="rId52" Type="http://schemas.openxmlformats.org/officeDocument/2006/relationships/hyperlink" Target="https://ru.wikipedia.org/wiki/&#1052;&#1086;&#1083;&#1086;&#1076;&#1105;&#1078;&#1085;&#1086;&#1077;_(&#1055;&#1088;&#1080;&#1084;&#1086;&#1088;&#1089;&#1082;&#1080;&#1081;_&#1082;&#1088;&#1072;&#1081;)" TargetMode="External"/><Relationship Id="rId53" Type="http://schemas.openxmlformats.org/officeDocument/2006/relationships/hyperlink" Target="https://ru.wikipedia.org/wiki/&#1050;&#1088;&#1072;&#1089;&#1085;&#1086;&#1072;&#1088;&#1084;&#1077;&#1081;&#1089;&#1082;&#1080;&#1081;_&#1088;&#1072;&#1081;&#1086;&#1085;_(&#1055;&#1088;&#1080;&#1084;&#1086;&#1088;&#1089;&#1082;&#1080;&#1081;_&#1082;&#1088;&#1072;&#1081;)" TargetMode="External"/><Relationship Id="rId54" Type="http://schemas.openxmlformats.org/officeDocument/2006/relationships/image" Target="media/image2.png"/><Relationship Id="rId55" Type="http://schemas.openxmlformats.org/officeDocument/2006/relationships/chart" Target="charts/chart1.xml"/><Relationship Id="rId56" Type="http://schemas.openxmlformats.org/officeDocument/2006/relationships/image" Target="media/image3.jpeg"/><Relationship Id="rId57" Type="http://schemas.openxmlformats.org/officeDocument/2006/relationships/image" Target="media/image4.png"/><Relationship Id="rId58" Type="http://schemas.openxmlformats.org/officeDocument/2006/relationships/image" Target="media/image5.jpeg"/><Relationship Id="rId59" Type="http://schemas.openxmlformats.org/officeDocument/2006/relationships/chart" Target="charts/chart2.xml"/><Relationship Id="rId60" Type="http://schemas.openxmlformats.org/officeDocument/2006/relationships/chart" Target="charts/chart3.xml"/><Relationship Id="rId61" Type="http://schemas.openxmlformats.org/officeDocument/2006/relationships/image" Target="media/image6.jpeg"/><Relationship Id="rId62" Type="http://schemas.openxmlformats.org/officeDocument/2006/relationships/chart" Target="charts/chart4.xml"/><Relationship Id="rId63" Type="http://schemas.openxmlformats.org/officeDocument/2006/relationships/image" Target="media/image7.jpeg"/><Relationship Id="rId64" Type="http://schemas.openxmlformats.org/officeDocument/2006/relationships/chart" Target="charts/chart5.xml"/><Relationship Id="rId65" Type="http://schemas.openxmlformats.org/officeDocument/2006/relationships/image" Target="media/image8.jpeg"/><Relationship Id="rId66" Type="http://schemas.openxmlformats.org/officeDocument/2006/relationships/image" Target="media/image9.jpeg"/><Relationship Id="rId67" Type="http://schemas.openxmlformats.org/officeDocument/2006/relationships/image" Target="media/image10.jpeg"/><Relationship Id="rId68" Type="http://schemas.openxmlformats.org/officeDocument/2006/relationships/chart" Target="charts/chart6.xml"/><Relationship Id="rId69" Type="http://schemas.openxmlformats.org/officeDocument/2006/relationships/image" Target="media/image11.png"/><Relationship Id="rId70" Type="http://schemas.openxmlformats.org/officeDocument/2006/relationships/image" Target="media/image12.jpeg"/><Relationship Id="rId71" Type="http://schemas.openxmlformats.org/officeDocument/2006/relationships/chart" Target="charts/chart7.xml"/><Relationship Id="rId72" Type="http://schemas.openxmlformats.org/officeDocument/2006/relationships/image" Target="media/image13.jpeg"/><Relationship Id="rId73" Type="http://schemas.openxmlformats.org/officeDocument/2006/relationships/chart" Target="charts/chart8.xml"/><Relationship Id="rId74" Type="http://schemas.openxmlformats.org/officeDocument/2006/relationships/chart" Target="charts/chart9.xml"/><Relationship Id="rId75" Type="http://schemas.openxmlformats.org/officeDocument/2006/relationships/chart" Target="charts/chart10.xml"/><Relationship Id="rId76" Type="http://schemas.openxmlformats.org/officeDocument/2006/relationships/chart" Target="charts/chart11.xml"/><Relationship Id="rId77" Type="http://schemas.openxmlformats.org/officeDocument/2006/relationships/chart" Target="charts/chart12.xml"/><Relationship Id="rId78" Type="http://schemas.openxmlformats.org/officeDocument/2006/relationships/chart" Target="charts/chart13.xml"/><Relationship Id="rId79" Type="http://schemas.openxmlformats.org/officeDocument/2006/relationships/chart" Target="charts/chart14.xml"/><Relationship Id="rId80" Type="http://schemas.openxmlformats.org/officeDocument/2006/relationships/chart" Target="charts/chart15.xml"/><Relationship Id="rId81" Type="http://schemas.openxmlformats.org/officeDocument/2006/relationships/chart" Target="charts/chart16.xml"/><Relationship Id="rId82" Type="http://schemas.openxmlformats.org/officeDocument/2006/relationships/hyperlink" Target="http://docs.cntd.ru/document/494221554" TargetMode="External"/><Relationship Id="rId83" Type="http://schemas.openxmlformats.org/officeDocument/2006/relationships/hyperlink" Target="http://docs.cntd.ru/document/744100004" TargetMode="External"/><Relationship Id="rId84" Type="http://schemas.openxmlformats.org/officeDocument/2006/relationships/hyperlink" Target="http://docs.cntd.ru/document/453130907" TargetMode="External"/><Relationship Id="rId85" Type="http://schemas.openxmlformats.org/officeDocument/2006/relationships/hyperlink" Target="http://docs.cntd.ru/document/494215687" TargetMode="External"/><Relationship Id="rId86" Type="http://schemas.openxmlformats.org/officeDocument/2006/relationships/hyperlink" Target="http://www.garant.ru/hotlaw/federal/670429/" TargetMode="External"/><Relationship Id="rId87" Type="http://schemas.openxmlformats.org/officeDocument/2006/relationships/hyperlink" Target="http://www.consultant.ru/regbase/cgi/online.cgi?req=doc;base=RLAW020;n=97126" TargetMode="External"/><Relationship Id="rId88" Type="http://schemas.openxmlformats.org/officeDocument/2006/relationships/hyperlink" Target="consultantplus://offline/ref=D8AA2AAB183DD10897013CECE58AF617D9B57F8862D30CFBB0C958EF0B667D760B9738F206DB649BQ8MCJ" TargetMode="External"/><Relationship Id="rId89" Type="http://schemas.openxmlformats.org/officeDocument/2006/relationships/hyperlink" Target="consultantplus://offline/ref=D8AA2AAB183DD108970122E1F3E6A818DBBE20866DD207ADEB9603B25C6F7721Q4MCJ" TargetMode="External"/><Relationship Id="rId90" Type="http://schemas.openxmlformats.org/officeDocument/2006/relationships/hyperlink" Target="consultantplus://offline/ref=D8AA2AAB183DD108970122E1F3E6A818DBBE208664DA05ACE49F5EB854367B234BD73EA7459E619C8B2211E4QAM2J" TargetMode="External"/><Relationship Id="rId91" Type="http://schemas.openxmlformats.org/officeDocument/2006/relationships/hyperlink" Target="consultantplus://offline/ref=85F92E2371E1DE4AFFA3D7C7E139129C85BE12A04CFF77E160CA0629223075EC2AOEJ" TargetMode="External"/><Relationship Id="rId92" Type="http://schemas.openxmlformats.org/officeDocument/2006/relationships/hyperlink" Target="consultantplus://offline/ref=85F92E2371E1DE4AFFA3C9CAF7554C9387B54DAC42FF7CB73B955D747523O9J" TargetMode="External"/><Relationship Id="rId93" Type="http://schemas.openxmlformats.org/officeDocument/2006/relationships/hyperlink" Target="consultantplus://offline/ref=7461C8C6B7B970F7C7887945F264A7F47990654226D5F45F8FD4523A4962425ED6A8B79069A9D862RDI7J" TargetMode="External"/><Relationship Id="rId94" Type="http://schemas.openxmlformats.org/officeDocument/2006/relationships/hyperlink" Target="consultantplus://offline/ref=7461C8C6B7B970F7C7886748E408F9FB7B9B3A4C20DCFD08DB82546D1632440B96E8B1C52AECDD67D41DD557RBI2J" TargetMode="External"/><Relationship Id="rId95" Type="http://schemas.openxmlformats.org/officeDocument/2006/relationships/hyperlink" Target="consultantplus://offline/ref=83B017CA605D96310F991223D97587150BD1385C7F37CFCE568B7F1E08D81771C1E539FA04a057F" TargetMode="External"/><Relationship Id="rId96" Type="http://schemas.openxmlformats.org/officeDocument/2006/relationships/hyperlink" Target="consultantplus://offline/ref=83B017CA605D96310F991223D97587150BD1385C7F37CFCE568B7F1E08aD58F" TargetMode="External"/><Relationship Id="rId97" Type="http://schemas.openxmlformats.org/officeDocument/2006/relationships/hyperlink" Target="consultantplus://offline/ref=83B017CA605D96310F991223D97587150BD1385D7E37CFCE568B7F1E08aD58F" TargetMode="External"/><Relationship Id="rId98" Type="http://schemas.openxmlformats.org/officeDocument/2006/relationships/hyperlink" Target="consultantplus://offline/ref=83B017CA605D96310F991223D97587150BD33951763CCFCE568B7F1E08aD58F" TargetMode="External"/><Relationship Id="rId99" Type="http://schemas.openxmlformats.org/officeDocument/2006/relationships/hyperlink" Target="consultantplus://offline/ref=83B017CA605D96310F991223D97587150BD1385D7E37CFCE568B7F1E08aD58F" TargetMode="External"/><Relationship Id="rId100" Type="http://schemas.openxmlformats.org/officeDocument/2006/relationships/hyperlink" Target="consultantplus://offline/ref=83B017CA605D96310F991223D97587150BD1385C7F37CFCE568B7F1E08D81771C1E539FA07a05EF" TargetMode="External"/><Relationship Id="rId101" Type="http://schemas.openxmlformats.org/officeDocument/2006/relationships/hyperlink" Target="consultantplus://offline/ref=83B017CA605D96310F991223D97587150BD1385C7F37CFCE568B7F1E08D81771C1E539F9050E61F0a85BF" TargetMode="External"/><Relationship Id="rId102" Type="http://schemas.openxmlformats.org/officeDocument/2006/relationships/hyperlink" Target="consultantplus://offline/ref=83B017CA605D96310F991223D97587150BD33951763CCFCE568B7F1E08D81771C1E539F9050E67F1a859F" TargetMode="External"/><Relationship Id="rId103" Type="http://schemas.openxmlformats.org/officeDocument/2006/relationships/hyperlink" Target="http://base.consultant.ru/regbase/cgi/online.cgi?req=doc;base=RLAW020;n=89929" TargetMode="External"/><Relationship Id="rId104" Type="http://schemas.openxmlformats.org/officeDocument/2006/relationships/hyperlink" Target="consultantplus://offline/ref=690CE2AFF94E466C74C3D734F72B4EA4C8E75A59AAC158B03ADC1043C4F1CCE28F32F9EE298DC4A8PAI5G" TargetMode="External"/><Relationship Id="rId105" Type="http://schemas.openxmlformats.org/officeDocument/2006/relationships/image" Target="media/image14.png"/><Relationship Id="rId106" Type="http://schemas.openxmlformats.org/officeDocument/2006/relationships/hyperlink" Target="consultantplus://offline/ref=35E48832EA33CC5484F9F64CC4FAD2289C152013101A4A308BE1CE5C9B3BE8D" TargetMode="External"/><Relationship Id="rId107" Type="http://schemas.openxmlformats.org/officeDocument/2006/relationships/hyperlink" Target="consultantplus://offline/ref=3605F6E21F783D3433785BC5D24364F1B414188F31345DACF36DEC13AD6B29A58EBE2424A47457B768c4X" TargetMode="External"/><Relationship Id="rId108" Type="http://schemas.openxmlformats.org/officeDocument/2006/relationships/hyperlink" Target="consultantplus://offline/ref=2372665DB1F8D38B40BB765A9C712A24153C7975D77D77B63D7E4471C13AAD071D881CA2E7976BCAN2C2G" TargetMode="External"/><Relationship Id="rId109" Type="http://schemas.openxmlformats.org/officeDocument/2006/relationships/chart" Target="charts/chart17.xml"/><Relationship Id="rId110" Type="http://schemas.openxmlformats.org/officeDocument/2006/relationships/chart" Target="charts/chart18.xml"/><Relationship Id="rId111" Type="http://schemas.openxmlformats.org/officeDocument/2006/relationships/chart" Target="charts/chart19.xml"/><Relationship Id="rId112" Type="http://schemas.openxmlformats.org/officeDocument/2006/relationships/chart" Target="charts/chart20.xml"/><Relationship Id="rId113" Type="http://schemas.openxmlformats.org/officeDocument/2006/relationships/chart" Target="charts/chart21.xml"/><Relationship Id="rId114" Type="http://schemas.openxmlformats.org/officeDocument/2006/relationships/hyperlink" Target="consultantplus://offline/ref=2D9ECDFC56B77848F1DD9BAB91D83988F214F07B638AB62912F567D424614036C46A80D8EC03BC2302gCG" TargetMode="External"/><Relationship Id="rId115" Type="http://schemas.openxmlformats.org/officeDocument/2006/relationships/header" Target="header1.xml"/><Relationship Id="rId116" Type="http://schemas.openxmlformats.org/officeDocument/2006/relationships/footer" Target="footer1.xml"/><Relationship Id="rId117" Type="http://schemas.openxmlformats.org/officeDocument/2006/relationships/header" Target="header2.xml"/><Relationship Id="rId118" Type="http://schemas.openxmlformats.org/officeDocument/2006/relationships/footer" Target="footer2.xml"/><Relationship Id="rId119" Type="http://schemas.openxmlformats.org/officeDocument/2006/relationships/header" Target="header3.xml"/><Relationship Id="rId120" Type="http://schemas.openxmlformats.org/officeDocument/2006/relationships/footer" Target="footer3.xml"/><Relationship Id="rId121" Type="http://schemas.openxmlformats.org/officeDocument/2006/relationships/header" Target="header4.xml"/><Relationship Id="rId122" Type="http://schemas.openxmlformats.org/officeDocument/2006/relationships/footer" Target="footer4.xml"/><Relationship Id="rId123" Type="http://schemas.openxmlformats.org/officeDocument/2006/relationships/image" Target="media/image15.wmf"/><Relationship Id="rId124" Type="http://schemas.openxmlformats.org/officeDocument/2006/relationships/header" Target="header5.xml"/><Relationship Id="rId125" Type="http://schemas.openxmlformats.org/officeDocument/2006/relationships/footer" Target="footer5.xml"/><Relationship Id="rId126" Type="http://schemas.openxmlformats.org/officeDocument/2006/relationships/header" Target="header6.xml"/><Relationship Id="rId127" Type="http://schemas.openxmlformats.org/officeDocument/2006/relationships/footer" Target="footer6.xml"/><Relationship Id="rId128" Type="http://schemas.openxmlformats.org/officeDocument/2006/relationships/header" Target="header7.xml"/><Relationship Id="rId129" Type="http://schemas.openxmlformats.org/officeDocument/2006/relationships/footer" Target="footer7.xml"/><Relationship Id="rId130" Type="http://schemas.openxmlformats.org/officeDocument/2006/relationships/header" Target="header8.xml"/><Relationship Id="rId131" Type="http://schemas.openxmlformats.org/officeDocument/2006/relationships/footer" Target="footer8.xml"/><Relationship Id="rId132" Type="http://schemas.openxmlformats.org/officeDocument/2006/relationships/hyperlink" Target="consultantplus://offline/ref=4443EBC59BEC4AE3D6AD9561336F95BE9C3F1F59B9B1D873A140CF252191C1C679313C3358384505t7mCD" TargetMode="External"/><Relationship Id="rId133" Type="http://schemas.openxmlformats.org/officeDocument/2006/relationships/header" Target="header9.xml"/><Relationship Id="rId134" Type="http://schemas.openxmlformats.org/officeDocument/2006/relationships/footer" Target="footer9.xml"/><Relationship Id="rId135" Type="http://schemas.openxmlformats.org/officeDocument/2006/relationships/hyperlink" Target="consultantplus://offline/ref=D42D1FF86A8E3D89B41DDA20595E42B692C2A4A9F9B74AFC34C0F5B855C2BCEFD053BA7429CBE99BO5W1F" TargetMode="External"/><Relationship Id="rId136" Type="http://schemas.openxmlformats.org/officeDocument/2006/relationships/hyperlink" Target="consultantplus://offline/ref=C3E705A32948E580E825386A82B8D7EACF0EBDEFCBB87B38B8B598FAC88CB3A84443905859FB1447pCYCF" TargetMode="External"/><Relationship Id="rId137" Type="http://schemas.openxmlformats.org/officeDocument/2006/relationships/header" Target="header10.xml"/><Relationship Id="rId138" Type="http://schemas.openxmlformats.org/officeDocument/2006/relationships/footer" Target="footer10.xml"/><Relationship Id="rId139" Type="http://schemas.openxmlformats.org/officeDocument/2006/relationships/hyperlink" Target="consultantplus://offline/ref=098F69B3104C4BD1AAF2D733E15E0EC1347B418C0CF8685E0EDCB4116264374FFA293CB4F42DB8CAP6iDE" TargetMode="External"/><Relationship Id="rId140" Type="http://schemas.openxmlformats.org/officeDocument/2006/relationships/hyperlink" Target="consultantplus://offline/ref=8AF372B1873DC35753C603C039074A3D0A8BBED7382FC6E1A63429498FC284F12FF442B18CC98778N4e6E" TargetMode="External"/><Relationship Id="rId141" Type="http://schemas.openxmlformats.org/officeDocument/2006/relationships/hyperlink" Target="consultantplus://offline/ref=8AF372B1873DC35753C603C039074A3D0A8BBED7382FC6E1A63429498FC284F12FF442B18CC9827CN4e4E" TargetMode="External"/><Relationship Id="rId142" Type="http://schemas.openxmlformats.org/officeDocument/2006/relationships/hyperlink" Target="consultantplus://offline/ref=8AF372B1873DC35753C603C039074A3D0A8BBED7382FC6E1A63429498FC284F12FF442B18CC9837BN4e7E" TargetMode="External"/><Relationship Id="rId143" Type="http://schemas.openxmlformats.org/officeDocument/2006/relationships/hyperlink" Target="consultantplus://offline/ref=0A15EDA528AF7CA0136C94CC86EE590E614D7561B6D44336ADD1FF52035A6EACB06EE2158F46FF62p4oEF" TargetMode="External"/><Relationship Id="rId144" Type="http://schemas.openxmlformats.org/officeDocument/2006/relationships/header" Target="header11.xml"/><Relationship Id="rId145" Type="http://schemas.openxmlformats.org/officeDocument/2006/relationships/footer" Target="footer11.xml"/><Relationship Id="rId146" Type="http://schemas.openxmlformats.org/officeDocument/2006/relationships/hyperlink" Target="consultantplus://offline/ref=D9A6C5D5D84A00EBEC2B02C99681A1102957E10FD20DF8860879FE1EE179C077A5F734D61A5DDCB8A8tFF" TargetMode="External"/><Relationship Id="rId147" Type="http://schemas.openxmlformats.org/officeDocument/2006/relationships/hyperlink" Target="consultantplus://offline/ref=F59F9DD42BA53DF56C551D4A52C34ACB59A0FEC631A064100EC3A8E663AF95BA8528F63F43AE4A4Es2TAG" TargetMode="External"/><Relationship Id="rId148" Type="http://schemas.openxmlformats.org/officeDocument/2006/relationships/header" Target="header12.xml"/><Relationship Id="rId149" Type="http://schemas.openxmlformats.org/officeDocument/2006/relationships/footer" Target="footer12.xml"/><Relationship Id="rId150" Type="http://schemas.openxmlformats.org/officeDocument/2006/relationships/hyperlink" Target="consultantplus://offline/ref=2E8826E52F40C39549C36002D8DFBDA6E0D47E593614B6CE587BC7399E4988E5C92BF3458C87A0A9l5WDG" TargetMode="External"/><Relationship Id="rId151" Type="http://schemas.openxmlformats.org/officeDocument/2006/relationships/hyperlink" Target="consultantplus://offline/ref=C7FAF2408958FED2709FCCC1B45B13E8E7F40248A1EF29A5F4827EE99B5E8A6ED4BFBA21FDA8333Ev8c1G" TargetMode="External"/><Relationship Id="rId152" Type="http://schemas.openxmlformats.org/officeDocument/2006/relationships/hyperlink" Target="consultantplus://offline/ref=C7FAF2408958FED2709FCCC1B45B13E8E5F7014AA2EF29A5F4827EE99B5E8A6ED4BFBA21FDA83138v8c6G" TargetMode="External"/><Relationship Id="rId153" Type="http://schemas.openxmlformats.org/officeDocument/2006/relationships/hyperlink" Target="consultantplus://offline/ref=C7FAF2408958FED2709FCCC1B45B13E8E5F7014AA2EF29A5F4827EE99B5E8A6ED4BFBA21FDA83138v8c7G" TargetMode="External"/><Relationship Id="rId154" Type="http://schemas.openxmlformats.org/officeDocument/2006/relationships/hyperlink" Target="consultantplus://offline/ref=C7FAF2408958FED2709FCCC1B45B13E8E5F7014AA2EF29A5F4827EE99B5E8A6ED4BFBA21FDA83138v8c8G" TargetMode="External"/><Relationship Id="rId155" Type="http://schemas.openxmlformats.org/officeDocument/2006/relationships/hyperlink" Target="consultantplus://offline/ref=C7FAF2408958FED2709FCCC1B45B13E8E5F7014AA2EF29A5F4827EE99B5E8A6ED4BFBA21FDA83138v8c7G" TargetMode="External"/><Relationship Id="rId156" Type="http://schemas.openxmlformats.org/officeDocument/2006/relationships/hyperlink" Target="consultantplus://offline/ref=C7FAF2408958FED2709FCCC1B45B13E8E5F7014AA2EF29A5F4827EE99B5E8A6ED4BFBA21FDA83138v8c6G" TargetMode="External"/><Relationship Id="rId157" Type="http://schemas.openxmlformats.org/officeDocument/2006/relationships/header" Target="header13.xml"/><Relationship Id="rId158" Type="http://schemas.openxmlformats.org/officeDocument/2006/relationships/footer" Target="footer13.xml"/><Relationship Id="rId159" Type="http://schemas.openxmlformats.org/officeDocument/2006/relationships/hyperlink" Target="consultantplus://offline/ref=DE0B22633F69AB5417F5587F45B90AC7BF05737BA3873206FBDA57AB54BC0A4A54DB616349A7031FW8zAG" TargetMode="External"/><Relationship Id="rId160" Type="http://schemas.openxmlformats.org/officeDocument/2006/relationships/hyperlink" Target="consultantplus://offline/ref=DE0B22633F69AB5417F5587F45B90AC7BF05737BA3873206FBDA57AB54BC0A4A54DB616349A60316W8zDG" TargetMode="External"/><Relationship Id="rId161" Type="http://schemas.openxmlformats.org/officeDocument/2006/relationships/hyperlink" Target="consultantplus://offline/ref=DE0B22633F69AB5417F5587F45B90AC7BF05737BA3873206FBDA57AB54BC0A4A54DB616349A60316W8zDG" TargetMode="External"/><Relationship Id="rId162" Type="http://schemas.openxmlformats.org/officeDocument/2006/relationships/hyperlink" Target="consultantplus://offline/ref=A28326906620ED352D57E4E3E67ECB28F06B0A08BFADEFE8E10D0F473850C690A587D846CCC9BC47p66EG" TargetMode="External"/><Relationship Id="rId163" Type="http://schemas.openxmlformats.org/officeDocument/2006/relationships/hyperlink" Target="consultantplus://offline/ref=A28326906620ED352D57E4E3E67ECB28F06B0A08BFADEFE8E10D0F473850C690A587D846CCC9BD44p66DG" TargetMode="External"/><Relationship Id="rId164" Type="http://schemas.openxmlformats.org/officeDocument/2006/relationships/header" Target="header14.xml"/><Relationship Id="rId165" Type="http://schemas.openxmlformats.org/officeDocument/2006/relationships/footer" Target="footer14.xml"/><Relationship Id="rId166" Type="http://schemas.openxmlformats.org/officeDocument/2006/relationships/header" Target="header15.xml"/><Relationship Id="rId167" Type="http://schemas.openxmlformats.org/officeDocument/2006/relationships/footer" Target="footer15.xml"/><Relationship Id="rId168" Type="http://schemas.openxmlformats.org/officeDocument/2006/relationships/header" Target="header16.xml"/><Relationship Id="rId169" Type="http://schemas.openxmlformats.org/officeDocument/2006/relationships/footer" Target="footer16.xml"/><Relationship Id="rId170" Type="http://schemas.openxmlformats.org/officeDocument/2006/relationships/numbering" Target="numbering.xml"/><Relationship Id="rId171" Type="http://schemas.openxmlformats.org/officeDocument/2006/relationships/fontTable" Target="fontTable.xml"/><Relationship Id="rId172" Type="http://schemas.openxmlformats.org/officeDocument/2006/relationships/settings" Target="settings.xml"/><Relationship Id="rId173" Type="http://schemas.openxmlformats.org/officeDocument/2006/relationships/theme" Target="theme/theme1.xml"/><Relationship Id="rId174"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_____Microsoft_Excel1.xlsx"/>
</Relationships>
</file>

<file path=word/charts/_rels/chart10.xml.rels><?xml version="1.0" encoding="UTF-8"?>
<Relationships xmlns="http://schemas.openxmlformats.org/package/2006/relationships"><Relationship Id="rId1" Type="http://schemas.openxmlformats.org/officeDocument/2006/relationships/package" Target="../embeddings/_____Microsoft_Excel10.xlsx"/>
</Relationships>
</file>

<file path=word/charts/_rels/chart11.xml.rels><?xml version="1.0" encoding="UTF-8"?>
<Relationships xmlns="http://schemas.openxmlformats.org/package/2006/relationships"><Relationship Id="rId1" Type="http://schemas.openxmlformats.org/officeDocument/2006/relationships/package" Target="../embeddings/_____Microsoft_Excel11.xlsx"/>
</Relationships>
</file>

<file path=word/charts/_rels/chart12.xml.rels><?xml version="1.0" encoding="UTF-8"?>
<Relationships xmlns="http://schemas.openxmlformats.org/package/2006/relationships"><Relationship Id="rId1" Type="http://schemas.openxmlformats.org/officeDocument/2006/relationships/package" Target="../embeddings/_____Microsoft_Excel12.xlsx"/>
</Relationships>
</file>

<file path=word/charts/_rels/chart13.xml.rels><?xml version="1.0" encoding="UTF-8"?>
<Relationships xmlns="http://schemas.openxmlformats.org/package/2006/relationships"><Relationship Id="rId1" Type="http://schemas.openxmlformats.org/officeDocument/2006/relationships/package" Target="../embeddings/_____Microsoft_Excel13.xlsx"/>
</Relationships>
</file>

<file path=word/charts/_rels/chart14.xml.rels><?xml version="1.0" encoding="UTF-8"?>
<Relationships xmlns="http://schemas.openxmlformats.org/package/2006/relationships"><Relationship Id="rId1" Type="http://schemas.openxmlformats.org/officeDocument/2006/relationships/package" Target="../embeddings/_____Microsoft_Excel14.xlsx"/>
</Relationships>
</file>

<file path=word/charts/_rels/chart15.xml.rels><?xml version="1.0" encoding="UTF-8"?>
<Relationships xmlns="http://schemas.openxmlformats.org/package/2006/relationships"><Relationship Id="rId1" Type="http://schemas.openxmlformats.org/officeDocument/2006/relationships/package" Target="../embeddings/_____Microsoft_Excel15.xlsx"/>
</Relationships>
</file>

<file path=word/charts/_rels/chart16.xml.rels><?xml version="1.0" encoding="UTF-8"?>
<Relationships xmlns="http://schemas.openxmlformats.org/package/2006/relationships"><Relationship Id="rId1" Type="http://schemas.openxmlformats.org/officeDocument/2006/relationships/package" Target="../embeddings/_____Microsoft_Excel16.xlsx"/>
</Relationships>
</file>

<file path=word/charts/_rels/chart17.xml.rels><?xml version="1.0" encoding="UTF-8"?>
<Relationships xmlns="http://schemas.openxmlformats.org/package/2006/relationships"><Relationship Id="rId1" Type="http://schemas.openxmlformats.org/officeDocument/2006/relationships/package" Target="../embeddings/_____Microsoft_Excel17.xlsx"/>
</Relationships>
</file>

<file path=word/charts/_rels/chart18.xml.rels><?xml version="1.0" encoding="UTF-8"?>
<Relationships xmlns="http://schemas.openxmlformats.org/package/2006/relationships"><Relationship Id="rId1" Type="http://schemas.openxmlformats.org/officeDocument/2006/relationships/package" Target="../embeddings/_____Microsoft_Excel18.xlsx"/>
</Relationships>
</file>

<file path=word/charts/_rels/chart19.xml.rels><?xml version="1.0" encoding="UTF-8"?>
<Relationships xmlns="http://schemas.openxmlformats.org/package/2006/relationships"><Relationship Id="rId1" Type="http://schemas.openxmlformats.org/officeDocument/2006/relationships/package" Target="../embeddings/_____Microsoft_Excel19.xlsx"/>
</Relationships>
</file>

<file path=word/charts/_rels/chart2.xml.rels><?xml version="1.0" encoding="UTF-8"?>
<Relationships xmlns="http://schemas.openxmlformats.org/package/2006/relationships"><Relationship Id="rId1" Type="http://schemas.openxmlformats.org/officeDocument/2006/relationships/package" Target="../embeddings/_____Microsoft_Excel2.xlsx"/>
</Relationships>
</file>

<file path=word/charts/_rels/chart20.xml.rels><?xml version="1.0" encoding="UTF-8"?>
<Relationships xmlns="http://schemas.openxmlformats.org/package/2006/relationships"><Relationship Id="rId1" Type="http://schemas.openxmlformats.org/officeDocument/2006/relationships/package" Target="../embeddings/_____Microsoft_Excel20.xlsx"/>
</Relationships>
</file>

<file path=word/charts/_rels/chart21.xml.rels><?xml version="1.0" encoding="UTF-8"?>
<Relationships xmlns="http://schemas.openxmlformats.org/package/2006/relationships"><Relationship Id="rId1" Type="http://schemas.openxmlformats.org/officeDocument/2006/relationships/package" Target="../embeddings/_____Microsoft_Excel21.xlsx"/>
</Relationships>
</file>

<file path=word/charts/_rels/chart3.xml.rels><?xml version="1.0" encoding="UTF-8"?>
<Relationships xmlns="http://schemas.openxmlformats.org/package/2006/relationships"><Relationship Id="rId1" Type="http://schemas.openxmlformats.org/officeDocument/2006/relationships/package" Target="../embeddings/_____Microsoft_Excel3.xlsx"/>
</Relationships>
</file>

<file path=word/charts/_rels/chart4.xml.rels><?xml version="1.0" encoding="UTF-8"?>
<Relationships xmlns="http://schemas.openxmlformats.org/package/2006/relationships"><Relationship Id="rId1" Type="http://schemas.openxmlformats.org/officeDocument/2006/relationships/package" Target="../embeddings/_____Microsoft_Excel4.xlsx"/>
</Relationships>
</file>

<file path=word/charts/_rels/chart5.xml.rels><?xml version="1.0" encoding="UTF-8"?>
<Relationships xmlns="http://schemas.openxmlformats.org/package/2006/relationships"><Relationship Id="rId1" Type="http://schemas.openxmlformats.org/officeDocument/2006/relationships/package" Target="../embeddings/_____Microsoft_Excel5.xlsx"/>
</Relationships>
</file>

<file path=word/charts/_rels/chart6.xml.rels><?xml version="1.0" encoding="UTF-8"?>
<Relationships xmlns="http://schemas.openxmlformats.org/package/2006/relationships"><Relationship Id="rId1" Type="http://schemas.openxmlformats.org/officeDocument/2006/relationships/package" Target="../embeddings/_____Microsoft_Excel6.xlsx"/>
</Relationships>
</file>

<file path=word/charts/_rels/chart7.xml.rels><?xml version="1.0" encoding="UTF-8"?>
<Relationships xmlns="http://schemas.openxmlformats.org/package/2006/relationships"><Relationship Id="rId1" Type="http://schemas.openxmlformats.org/officeDocument/2006/relationships/package" Target="../embeddings/_____Microsoft_Excel7.xlsx"/>
</Relationships>
</file>

<file path=word/charts/_rels/chart8.xml.rels><?xml version="1.0" encoding="UTF-8"?>
<Relationships xmlns="http://schemas.openxmlformats.org/package/2006/relationships"><Relationship Id="rId1" Type="http://schemas.openxmlformats.org/officeDocument/2006/relationships/package" Target="../embeddings/_____Microsoft_Excel8.xlsx"/>
</Relationships>
</file>

<file path=word/charts/_rels/chart9.xml.rels><?xml version="1.0" encoding="UTF-8"?>
<Relationships xmlns="http://schemas.openxmlformats.org/package/2006/relationships"><Relationship Id="rId1" Type="http://schemas.openxmlformats.org/officeDocument/2006/relationships/package" Target="../embeddings/_____Microsoft_Excel9.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Ряд1</c:v>
                </c:pt>
              </c:strCache>
            </c:strRef>
          </c:tx>
          <c:spPr>
            <a:solidFill>
              <a:srgbClr val="4f81bd"/>
            </a:solidFill>
            <a:ln w="0">
              <a:noFill/>
            </a:ln>
          </c:spPr>
          <c:explosion val="25"/>
          <c:dPt>
            <c:idx val="0"/>
            <c:explosion val="25"/>
            <c:spPr>
              <a:solidFill>
                <a:srgbClr val="4672a8"/>
              </a:solidFill>
              <a:ln w="0">
                <a:noFill/>
              </a:ln>
            </c:spPr>
          </c:dPt>
          <c:dPt>
            <c:idx val="1"/>
            <c:explosion val="25"/>
            <c:spPr>
              <a:solidFill>
                <a:srgbClr val="ab4744"/>
              </a:solidFill>
              <a:ln w="0">
                <a:noFill/>
              </a:ln>
            </c:spPr>
          </c:dPt>
          <c:dPt>
            <c:idx val="2"/>
            <c:explosion val="25"/>
            <c:spPr>
              <a:solidFill>
                <a:srgbClr val="8aa64f"/>
              </a:solidFill>
              <a:ln w="0">
                <a:noFill/>
              </a:ln>
            </c:spPr>
          </c:dPt>
          <c:dPt>
            <c:idx val="3"/>
            <c:explosion val="25"/>
            <c:spPr>
              <a:solidFill>
                <a:srgbClr val="725990"/>
              </a:solidFill>
              <a:ln w="0">
                <a:noFill/>
              </a:ln>
            </c:spPr>
          </c:dPt>
          <c:dPt>
            <c:idx val="4"/>
            <c:explosion val="25"/>
            <c:spPr>
              <a:solidFill>
                <a:srgbClr val="4299b0"/>
              </a:solidFill>
              <a:ln w="0">
                <a:noFill/>
              </a:ln>
            </c:spPr>
          </c:dPt>
          <c:dPt>
            <c:idx val="5"/>
            <c:explosion val="25"/>
            <c:spPr>
              <a:solidFill>
                <a:srgbClr val="dc853e"/>
              </a:solidFill>
              <a:ln w="0">
                <a:noFill/>
              </a:ln>
            </c:spPr>
          </c:dPt>
          <c:dPt>
            <c:idx val="6"/>
            <c:explosion val="25"/>
            <c:spPr>
              <a:solidFill>
                <a:srgbClr val="93a9ce"/>
              </a:solidFill>
              <a:ln w="0">
                <a:noFill/>
              </a:ln>
            </c:spPr>
          </c:dPt>
          <c:dLbls>
            <c:numFmt formatCode="0.00%" sourceLinked="0"/>
            <c:dLbl>
              <c:idx val="0"/>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2"/>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3"/>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4"/>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5"/>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6"/>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showLeaderLines val="1"/>
          </c:dLbls>
          <c:cat>
            <c:strRef>
              <c:f>categories</c:f>
              <c:strCache>
                <c:ptCount val="7"/>
                <c:pt idx="0">
                  <c:v>земли сельскохозяйственного назначения</c:v>
                </c:pt>
                <c:pt idx="1">
                  <c:v>земли населенных пунктов</c:v>
                </c:pt>
                <c:pt idx="2">
                  <c:v>земли промышленности и пр.</c:v>
                </c:pt>
                <c:pt idx="3">
                  <c:v>земли особо охраняемых территорий</c:v>
                </c:pt>
                <c:pt idx="4">
                  <c:v>земли лесного фонда</c:v>
                </c:pt>
                <c:pt idx="5">
                  <c:v>земли водного фонда</c:v>
                </c:pt>
                <c:pt idx="6">
                  <c:v>земли запаса</c:v>
                </c:pt>
              </c:strCache>
            </c:strRef>
          </c:cat>
          <c:val>
            <c:numRef>
              <c:f>0</c:f>
              <c:numCache>
                <c:formatCode>General</c:formatCode>
                <c:ptCount val="7"/>
                <c:pt idx="0">
                  <c:v>0.113</c:v>
                </c:pt>
                <c:pt idx="1">
                  <c:v>0.015</c:v>
                </c:pt>
                <c:pt idx="2">
                  <c:v>0.023</c:v>
                </c:pt>
                <c:pt idx="3">
                  <c:v>0.051</c:v>
                </c:pt>
                <c:pt idx="4">
                  <c:v>0.737</c:v>
                </c:pt>
                <c:pt idx="5">
                  <c:v>0.02</c:v>
                </c:pt>
                <c:pt idx="6">
                  <c:v>0.039</c:v>
                </c:pt>
              </c:numCache>
            </c:numRef>
          </c:val>
        </c:ser>
      </c:pie3DChart>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В собственности граждан</c:v>
                </c:pt>
              </c:strCache>
            </c:strRef>
          </c:tx>
          <c:spPr>
            <a:solidFill>
              <a:srgbClr val="4f81bd"/>
            </a:solidFill>
            <a:ln w="0">
              <a:noFill/>
            </a:ln>
          </c:spPr>
          <c:invertIfNegative val="0"/>
          <c:dLbls>
            <c:txPr>
              <a:bodyPr wrap="square"/>
              <a:lstStyle/>
              <a:p>
                <a:pPr>
                  <a:defRPr b="0" sz="8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2012 год</c:v>
                </c:pt>
                <c:pt idx="1">
                  <c:v>2013 год</c:v>
                </c:pt>
                <c:pt idx="2">
                  <c:v>2014 год</c:v>
                </c:pt>
                <c:pt idx="3">
                  <c:v>2015 год</c:v>
                </c:pt>
                <c:pt idx="4">
                  <c:v>2016 год</c:v>
                </c:pt>
              </c:strCache>
            </c:strRef>
          </c:cat>
          <c:val>
            <c:numRef>
              <c:f>0</c:f>
              <c:numCache>
                <c:formatCode>General</c:formatCode>
                <c:ptCount val="5"/>
                <c:pt idx="0">
                  <c:v>677.9</c:v>
                </c:pt>
                <c:pt idx="1">
                  <c:v>673.5</c:v>
                </c:pt>
                <c:pt idx="2">
                  <c:v>668</c:v>
                </c:pt>
                <c:pt idx="3">
                  <c:v>639.4</c:v>
                </c:pt>
                <c:pt idx="4">
                  <c:v>587.6</c:v>
                </c:pt>
              </c:numCache>
            </c:numRef>
          </c:val>
        </c:ser>
        <c:ser>
          <c:idx val="1"/>
          <c:order val="1"/>
          <c:tx>
            <c:strRef>
              <c:f>label 1</c:f>
              <c:strCache>
                <c:ptCount val="1"/>
                <c:pt idx="0">
                  <c:v>В собственности юридических лиц</c:v>
                </c:pt>
              </c:strCache>
            </c:strRef>
          </c:tx>
          <c:spPr>
            <a:solidFill>
              <a:srgbClr val="c0504d"/>
            </a:solidFill>
            <a:ln w="0">
              <a:noFill/>
            </a:ln>
          </c:spPr>
          <c:invertIfNegative val="0"/>
          <c:dLbls>
            <c:txPr>
              <a:bodyPr wrap="square"/>
              <a:lstStyle/>
              <a:p>
                <a:pPr>
                  <a:defRPr b="0" sz="8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2012 год</c:v>
                </c:pt>
                <c:pt idx="1">
                  <c:v>2013 год</c:v>
                </c:pt>
                <c:pt idx="2">
                  <c:v>2014 год</c:v>
                </c:pt>
                <c:pt idx="3">
                  <c:v>2015 год</c:v>
                </c:pt>
                <c:pt idx="4">
                  <c:v>2016 год</c:v>
                </c:pt>
              </c:strCache>
            </c:strRef>
          </c:cat>
          <c:val>
            <c:numRef>
              <c:f>1</c:f>
              <c:numCache>
                <c:formatCode>General</c:formatCode>
                <c:ptCount val="5"/>
                <c:pt idx="0">
                  <c:v>133.8</c:v>
                </c:pt>
                <c:pt idx="1">
                  <c:v>144.8</c:v>
                </c:pt>
                <c:pt idx="2">
                  <c:v>156.3</c:v>
                </c:pt>
                <c:pt idx="3">
                  <c:v>193.9</c:v>
                </c:pt>
                <c:pt idx="4">
                  <c:v>226.5</c:v>
                </c:pt>
              </c:numCache>
            </c:numRef>
          </c:val>
        </c:ser>
        <c:ser>
          <c:idx val="2"/>
          <c:order val="2"/>
          <c:tx>
            <c:strRef>
              <c:f>label 2</c:f>
              <c:strCache>
                <c:ptCount val="1"/>
                <c:pt idx="0">
                  <c:v>В государственной и муниципальной собственности</c:v>
                </c:pt>
              </c:strCache>
            </c:strRef>
          </c:tx>
          <c:spPr>
            <a:solidFill>
              <a:srgbClr val="9bbb59"/>
            </a:solidFill>
            <a:ln w="0">
              <a:noFill/>
            </a:ln>
          </c:spPr>
          <c:invertIfNegative val="0"/>
          <c:dLbls>
            <c:txPr>
              <a:bodyPr wrap="square"/>
              <a:lstStyle/>
              <a:p>
                <a:pPr>
                  <a:defRPr b="0" sz="8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2012 год</c:v>
                </c:pt>
                <c:pt idx="1">
                  <c:v>2013 год</c:v>
                </c:pt>
                <c:pt idx="2">
                  <c:v>2014 год</c:v>
                </c:pt>
                <c:pt idx="3">
                  <c:v>2015 год</c:v>
                </c:pt>
                <c:pt idx="4">
                  <c:v>2016 год</c:v>
                </c:pt>
              </c:strCache>
            </c:strRef>
          </c:cat>
          <c:val>
            <c:numRef>
              <c:f>2</c:f>
              <c:numCache>
                <c:formatCode>General</c:formatCode>
                <c:ptCount val="5"/>
                <c:pt idx="0">
                  <c:v>1060.9</c:v>
                </c:pt>
                <c:pt idx="1">
                  <c:v>1056.2</c:v>
                </c:pt>
                <c:pt idx="2">
                  <c:v>1050.1</c:v>
                </c:pt>
                <c:pt idx="3">
                  <c:v>1041.9</c:v>
                </c:pt>
                <c:pt idx="4">
                  <c:v>1048.2</c:v>
                </c:pt>
              </c:numCache>
            </c:numRef>
          </c:val>
        </c:ser>
        <c:gapWidth val="150"/>
        <c:overlap val="0"/>
        <c:axId val="87101922"/>
        <c:axId val="55898346"/>
      </c:barChart>
      <c:catAx>
        <c:axId val="87101922"/>
        <c:scaling>
          <c:orientation val="minMax"/>
        </c:scaling>
        <c:delete val="0"/>
        <c:axPos val="b"/>
        <c:numFmt formatCode="[$-419]dd/mm/yyyy" sourceLinked="1"/>
        <c:majorTickMark val="out"/>
        <c:minorTickMark val="none"/>
        <c:tickLblPos val="nextTo"/>
        <c:spPr>
          <a:ln w="9360">
            <a:solidFill>
              <a:srgbClr val="878787"/>
            </a:solidFill>
            <a:round/>
          </a:ln>
        </c:spPr>
        <c:txPr>
          <a:bodyPr/>
          <a:lstStyle/>
          <a:p>
            <a:pPr>
              <a:defRPr b="0" sz="800" spc="-1" strike="noStrike">
                <a:solidFill>
                  <a:srgbClr val="000000"/>
                </a:solidFill>
                <a:latin typeface="Calibri"/>
              </a:defRPr>
            </a:pPr>
          </a:p>
        </c:txPr>
        <c:crossAx val="55898346"/>
        <c:crosses val="autoZero"/>
        <c:auto val="1"/>
        <c:lblAlgn val="ctr"/>
        <c:lblOffset val="100"/>
        <c:noMultiLvlLbl val="0"/>
      </c:catAx>
      <c:valAx>
        <c:axId val="55898346"/>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800" spc="-1" strike="noStrike">
                <a:solidFill>
                  <a:srgbClr val="000000"/>
                </a:solidFill>
                <a:latin typeface="Calibri"/>
              </a:defRPr>
            </a:pPr>
          </a:p>
        </c:txPr>
        <c:crossAx val="87101922"/>
        <c:crosses val="autoZero"/>
        <c:crossBetween val="between"/>
      </c:valAx>
      <c:spPr>
        <a:noFill/>
        <a:ln w="0">
          <a:noFill/>
        </a:ln>
      </c:spPr>
    </c:plotArea>
    <c:legend>
      <c:legendPos val="r"/>
      <c:overlay val="0"/>
      <c:spPr>
        <a:noFill/>
        <a:ln w="0">
          <a:noFill/>
        </a:ln>
      </c:spPr>
      <c:txPr>
        <a:bodyPr/>
        <a:lstStyle/>
        <a:p>
          <a:pPr>
            <a:defRPr b="0" sz="8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Ряд1</c:v>
                </c:pt>
              </c:strCache>
            </c:strRef>
          </c:tx>
          <c:spPr>
            <a:solidFill>
              <a:srgbClr val="4f81bd"/>
            </a:solidFill>
            <a:ln w="0">
              <a:noFill/>
            </a:ln>
          </c:spPr>
          <c:explosion val="25"/>
          <c:dPt>
            <c:idx val="0"/>
            <c:explosion val="25"/>
            <c:spPr>
              <a:solidFill>
                <a:srgbClr val="4f81bd"/>
              </a:solidFill>
              <a:ln w="0">
                <a:noFill/>
              </a:ln>
            </c:spPr>
          </c:dPt>
          <c:dPt>
            <c:idx val="1"/>
            <c:explosion val="25"/>
            <c:spPr>
              <a:solidFill>
                <a:srgbClr val="c0504d"/>
              </a:solidFill>
              <a:ln w="0">
                <a:noFill/>
              </a:ln>
            </c:spPr>
          </c:dPt>
          <c:dPt>
            <c:idx val="2"/>
            <c:explosion val="25"/>
            <c:spPr>
              <a:solidFill>
                <a:srgbClr val="9bbb59"/>
              </a:solidFill>
              <a:ln w="0">
                <a:noFill/>
              </a:ln>
            </c:spPr>
          </c:dPt>
          <c:dLbls>
            <c:numFmt formatCode="0.00%" sourceLinked="0"/>
            <c:dLbl>
              <c:idx val="0"/>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2"/>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showLeaderLines val="1"/>
          </c:dLbls>
          <c:cat>
            <c:strRef>
              <c:f>categories</c:f>
              <c:strCache>
                <c:ptCount val="3"/>
                <c:pt idx="0">
                  <c:v>В собственности граждан</c:v>
                </c:pt>
                <c:pt idx="1">
                  <c:v>В собственности юридических лиц</c:v>
                </c:pt>
                <c:pt idx="2">
                  <c:v>В государственной и муниципальной собственности</c:v>
                </c:pt>
              </c:strCache>
            </c:strRef>
          </c:cat>
          <c:val>
            <c:numRef>
              <c:f>0</c:f>
              <c:numCache>
                <c:formatCode>General</c:formatCode>
                <c:ptCount val="3"/>
                <c:pt idx="0">
                  <c:v>0.117</c:v>
                </c:pt>
                <c:pt idx="1">
                  <c:v>0.027</c:v>
                </c:pt>
                <c:pt idx="2">
                  <c:v>0.856</c:v>
                </c:pt>
              </c:numCache>
            </c:numRef>
          </c:val>
        </c:ser>
      </c:pie3DChart>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В собственности граждан</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2012 год</c:v>
                </c:pt>
                <c:pt idx="1">
                  <c:v>2013 год</c:v>
                </c:pt>
                <c:pt idx="2">
                  <c:v>2014 год</c:v>
                </c:pt>
                <c:pt idx="3">
                  <c:v>2015 год</c:v>
                </c:pt>
                <c:pt idx="4">
                  <c:v>2016 год</c:v>
                </c:pt>
              </c:strCache>
            </c:strRef>
          </c:cat>
          <c:val>
            <c:numRef>
              <c:f>0</c:f>
              <c:numCache>
                <c:formatCode>General</c:formatCode>
                <c:ptCount val="5"/>
                <c:pt idx="0">
                  <c:v>25.9</c:v>
                </c:pt>
                <c:pt idx="1">
                  <c:v>26.6</c:v>
                </c:pt>
                <c:pt idx="2">
                  <c:v>28.6</c:v>
                </c:pt>
                <c:pt idx="3">
                  <c:v>29</c:v>
                </c:pt>
                <c:pt idx="4">
                  <c:v>29.2</c:v>
                </c:pt>
              </c:numCache>
            </c:numRef>
          </c:val>
        </c:ser>
        <c:ser>
          <c:idx val="1"/>
          <c:order val="1"/>
          <c:tx>
            <c:strRef>
              <c:f>label 1</c:f>
              <c:strCache>
                <c:ptCount val="1"/>
                <c:pt idx="0">
                  <c:v>В собственности юридических лиц</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2012 год</c:v>
                </c:pt>
                <c:pt idx="1">
                  <c:v>2013 год</c:v>
                </c:pt>
                <c:pt idx="2">
                  <c:v>2014 год</c:v>
                </c:pt>
                <c:pt idx="3">
                  <c:v>2015 год</c:v>
                </c:pt>
                <c:pt idx="4">
                  <c:v>2016 год</c:v>
                </c:pt>
              </c:strCache>
            </c:strRef>
          </c:cat>
          <c:val>
            <c:numRef>
              <c:f>1</c:f>
              <c:numCache>
                <c:formatCode>General</c:formatCode>
                <c:ptCount val="5"/>
                <c:pt idx="0">
                  <c:v>5.1</c:v>
                </c:pt>
                <c:pt idx="1">
                  <c:v>5.3</c:v>
                </c:pt>
                <c:pt idx="2">
                  <c:v>6.6</c:v>
                </c:pt>
                <c:pt idx="3">
                  <c:v>6.6</c:v>
                </c:pt>
                <c:pt idx="4">
                  <c:v>6.7</c:v>
                </c:pt>
              </c:numCache>
            </c:numRef>
          </c:val>
        </c:ser>
        <c:ser>
          <c:idx val="2"/>
          <c:order val="2"/>
          <c:tx>
            <c:strRef>
              <c:f>label 2</c:f>
              <c:strCache>
                <c:ptCount val="1"/>
                <c:pt idx="0">
                  <c:v>В государственной и муниципальной собственности</c:v>
                </c:pt>
              </c:strCache>
            </c:strRef>
          </c:tx>
          <c:spPr>
            <a:solidFill>
              <a:srgbClr val="9bbb59"/>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2012 год</c:v>
                </c:pt>
                <c:pt idx="1">
                  <c:v>2013 год</c:v>
                </c:pt>
                <c:pt idx="2">
                  <c:v>2014 год</c:v>
                </c:pt>
                <c:pt idx="3">
                  <c:v>2015 год</c:v>
                </c:pt>
                <c:pt idx="4">
                  <c:v>2016 год</c:v>
                </c:pt>
              </c:strCache>
            </c:strRef>
          </c:cat>
          <c:val>
            <c:numRef>
              <c:f>2</c:f>
              <c:numCache>
                <c:formatCode>General</c:formatCode>
                <c:ptCount val="5"/>
                <c:pt idx="0">
                  <c:v>214.1</c:v>
                </c:pt>
                <c:pt idx="1">
                  <c:v>231.3</c:v>
                </c:pt>
                <c:pt idx="2">
                  <c:v>214.1</c:v>
                </c:pt>
                <c:pt idx="3">
                  <c:v>213.8</c:v>
                </c:pt>
                <c:pt idx="4">
                  <c:v>213.5</c:v>
                </c:pt>
              </c:numCache>
            </c:numRef>
          </c:val>
        </c:ser>
        <c:gapWidth val="150"/>
        <c:overlap val="0"/>
        <c:axId val="95770136"/>
        <c:axId val="12405509"/>
      </c:barChart>
      <c:catAx>
        <c:axId val="95770136"/>
        <c:scaling>
          <c:orientation val="minMax"/>
        </c:scaling>
        <c:delete val="0"/>
        <c:axPos val="b"/>
        <c:numFmt formatCode="[$-419]dd/mm/yyyy" sourceLinked="1"/>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12405509"/>
        <c:crosses val="autoZero"/>
        <c:auto val="1"/>
        <c:lblAlgn val="ctr"/>
        <c:lblOffset val="100"/>
        <c:noMultiLvlLbl val="0"/>
      </c:catAx>
      <c:valAx>
        <c:axId val="12405509"/>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95770136"/>
        <c:crosses val="autoZero"/>
        <c:crossBetween val="between"/>
      </c:valAx>
      <c:spPr>
        <a:noFill/>
        <a:ln w="0">
          <a:noFill/>
        </a:ln>
      </c:spPr>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Ряд1</c:v>
                </c:pt>
              </c:strCache>
            </c:strRef>
          </c:tx>
          <c:spPr>
            <a:solidFill>
              <a:srgbClr val="4f81bd"/>
            </a:solidFill>
            <a:ln w="0">
              <a:noFill/>
            </a:ln>
          </c:spPr>
          <c:explosion val="25"/>
          <c:dPt>
            <c:idx val="0"/>
            <c:explosion val="25"/>
            <c:spPr>
              <a:solidFill>
                <a:srgbClr val="4672a8"/>
              </a:solidFill>
              <a:ln w="0">
                <a:noFill/>
              </a:ln>
            </c:spPr>
          </c:dPt>
          <c:dPt>
            <c:idx val="1"/>
            <c:explosion val="25"/>
            <c:spPr>
              <a:solidFill>
                <a:srgbClr val="ab4744"/>
              </a:solidFill>
              <a:ln w="0">
                <a:noFill/>
              </a:ln>
            </c:spPr>
          </c:dPt>
          <c:dPt>
            <c:idx val="2"/>
            <c:explosion val="25"/>
            <c:spPr>
              <a:solidFill>
                <a:srgbClr val="8aa64f"/>
              </a:solidFill>
              <a:ln w="0">
                <a:noFill/>
              </a:ln>
            </c:spPr>
          </c:dPt>
          <c:dPt>
            <c:idx val="3"/>
            <c:explosion val="25"/>
            <c:spPr>
              <a:solidFill>
                <a:srgbClr val="725990"/>
              </a:solidFill>
              <a:ln w="0">
                <a:noFill/>
              </a:ln>
            </c:spPr>
          </c:dPt>
          <c:dPt>
            <c:idx val="4"/>
            <c:explosion val="25"/>
            <c:spPr>
              <a:solidFill>
                <a:srgbClr val="4299b0"/>
              </a:solidFill>
              <a:ln w="0">
                <a:noFill/>
              </a:ln>
            </c:spPr>
          </c:dPt>
          <c:dPt>
            <c:idx val="5"/>
            <c:explosion val="25"/>
            <c:spPr>
              <a:solidFill>
                <a:srgbClr val="dc853e"/>
              </a:solidFill>
              <a:ln w="0">
                <a:noFill/>
              </a:ln>
            </c:spPr>
          </c:dPt>
          <c:dPt>
            <c:idx val="6"/>
            <c:explosion val="25"/>
            <c:spPr>
              <a:solidFill>
                <a:srgbClr val="93a9ce"/>
              </a:solidFill>
              <a:ln w="0">
                <a:noFill/>
              </a:ln>
            </c:spPr>
          </c:dPt>
          <c:dLbls>
            <c:numFmt formatCode="0.00%" sourceLinked="0"/>
            <c:dLbl>
              <c:idx val="0"/>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2"/>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3"/>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4"/>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5"/>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6"/>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showLeaderLines val="1"/>
          </c:dLbls>
          <c:cat>
            <c:strRef>
              <c:f>categories</c:f>
              <c:strCache>
                <c:ptCount val="7"/>
                <c:pt idx="0">
                  <c:v>Змли промышленности</c:v>
                </c:pt>
                <c:pt idx="1">
                  <c:v>Земли энергетики</c:v>
                </c:pt>
                <c:pt idx="2">
                  <c:v>Земли транспорта</c:v>
                </c:pt>
                <c:pt idx="3">
                  <c:v>Земли радиовещания, телевидения, информатики</c:v>
                </c:pt>
                <c:pt idx="4">
                  <c:v>Земли для обеспечения космической деятельности</c:v>
                </c:pt>
                <c:pt idx="5">
                  <c:v>Земли обороны и безопасности</c:v>
                </c:pt>
                <c:pt idx="6">
                  <c:v>Земли иного специального назначения</c:v>
                </c:pt>
              </c:strCache>
            </c:strRef>
          </c:cat>
          <c:val>
            <c:numRef>
              <c:f>0</c:f>
              <c:numCache>
                <c:formatCode>General</c:formatCode>
                <c:ptCount val="7"/>
                <c:pt idx="0">
                  <c:v>0.059</c:v>
                </c:pt>
                <c:pt idx="1">
                  <c:v>0.022</c:v>
                </c:pt>
                <c:pt idx="2">
                  <c:v>0.008</c:v>
                </c:pt>
                <c:pt idx="3">
                  <c:v>0.3</c:v>
                </c:pt>
                <c:pt idx="4">
                  <c:v>0.0005</c:v>
                </c:pt>
                <c:pt idx="5">
                  <c:v>0.82</c:v>
                </c:pt>
                <c:pt idx="6">
                  <c:v>0.015</c:v>
                </c:pt>
              </c:numCache>
            </c:numRef>
          </c:val>
        </c:ser>
      </c:pie3DChart>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Ряд1</c:v>
                </c:pt>
              </c:strCache>
            </c:strRef>
          </c:tx>
          <c:spPr>
            <a:solidFill>
              <a:srgbClr val="4f81bd"/>
            </a:solidFill>
            <a:ln w="0">
              <a:noFill/>
            </a:ln>
          </c:spPr>
          <c:explosion val="25"/>
          <c:dPt>
            <c:idx val="0"/>
            <c:explosion val="25"/>
            <c:spPr>
              <a:solidFill>
                <a:srgbClr val="4f81bd"/>
              </a:solidFill>
              <a:ln w="0">
                <a:noFill/>
              </a:ln>
            </c:spPr>
          </c:dPt>
          <c:dPt>
            <c:idx val="1"/>
            <c:explosion val="25"/>
            <c:spPr>
              <a:solidFill>
                <a:srgbClr val="c0504d"/>
              </a:solidFill>
              <a:ln w="0">
                <a:noFill/>
              </a:ln>
            </c:spPr>
          </c:dPt>
          <c:dPt>
            <c:idx val="2"/>
            <c:explosion val="25"/>
            <c:spPr>
              <a:solidFill>
                <a:srgbClr val="9bbb59"/>
              </a:solidFill>
              <a:ln w="0">
                <a:noFill/>
              </a:ln>
            </c:spPr>
          </c:dPt>
          <c:dPt>
            <c:idx val="3"/>
            <c:explosion val="25"/>
            <c:spPr>
              <a:solidFill>
                <a:srgbClr val="8064a2"/>
              </a:solidFill>
              <a:ln w="0">
                <a:noFill/>
              </a:ln>
            </c:spPr>
          </c:dPt>
          <c:dLbls>
            <c:numFmt formatCode="0.00%" sourceLinked="0"/>
            <c:dLbl>
              <c:idx val="0"/>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2"/>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3"/>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showLeaderLines val="1"/>
          </c:dLbls>
          <c:cat>
            <c:strRef>
              <c:f>categories</c:f>
              <c:strCache>
                <c:ptCount val="4"/>
                <c:pt idx="0">
                  <c:v>Хозяйственные товарищества и общества</c:v>
                </c:pt>
                <c:pt idx="1">
                  <c:v>Производственные кооперативы</c:v>
                </c:pt>
                <c:pt idx="2">
                  <c:v>Государственные и муниципальные унитарные сельскохозяйственные предприятия</c:v>
                </c:pt>
                <c:pt idx="3">
                  <c:v>Прочие предприятия, организации и учреждения</c:v>
                </c:pt>
              </c:strCache>
            </c:strRef>
          </c:cat>
          <c:val>
            <c:numRef>
              <c:f>0</c:f>
              <c:numCache>
                <c:formatCode>General</c:formatCode>
                <c:ptCount val="4"/>
                <c:pt idx="0">
                  <c:v>0.396</c:v>
                </c:pt>
                <c:pt idx="1">
                  <c:v>0.584</c:v>
                </c:pt>
                <c:pt idx="2">
                  <c:v>0.018</c:v>
                </c:pt>
                <c:pt idx="3">
                  <c:v>0.002</c:v>
                </c:pt>
              </c:numCache>
            </c:numRef>
          </c:val>
        </c:ser>
      </c:pie3DChart>
    </c:plotArea>
    <c:legend>
      <c:legendPos val="r"/>
      <c:layout>
        <c:manualLayout>
          <c:xMode val="edge"/>
          <c:yMode val="edge"/>
          <c:x val="0.573625"/>
          <c:y val="0.0365555555555556"/>
          <c:w val="0.413588349271829"/>
          <c:h val="0.840648960995666"/>
        </c:manualLayout>
      </c:layout>
      <c:overlay val="0"/>
      <c:spPr>
        <a:noFill/>
        <a:ln w="0">
          <a:noFill/>
        </a:ln>
      </c:spPr>
      <c:txPr>
        <a:bodyPr/>
        <a:lstStyle/>
        <a:p>
          <a:pPr>
            <a:defRPr b="0" sz="8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В собственности граждан</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Крестьянские хозяйства</c:v>
                </c:pt>
                <c:pt idx="1">
                  <c:v>Личные подсобные хозяйтва</c:v>
                </c:pt>
                <c:pt idx="2">
                  <c:v>Садоводы и их объединения</c:v>
                </c:pt>
                <c:pt idx="3">
                  <c:v>Индивидуальное жилищное строительство</c:v>
                </c:pt>
              </c:strCache>
            </c:strRef>
          </c:cat>
          <c:val>
            <c:numRef>
              <c:f>0</c:f>
              <c:numCache>
                <c:formatCode>General</c:formatCode>
                <c:ptCount val="4"/>
                <c:pt idx="0">
                  <c:v>48</c:v>
                </c:pt>
                <c:pt idx="1">
                  <c:v>44.6</c:v>
                </c:pt>
                <c:pt idx="2">
                  <c:v>15.4</c:v>
                </c:pt>
                <c:pt idx="3">
                  <c:v>8.6</c:v>
                </c:pt>
              </c:numCache>
            </c:numRef>
          </c:val>
        </c:ser>
        <c:ser>
          <c:idx val="1"/>
          <c:order val="1"/>
          <c:tx>
            <c:strRef>
              <c:f>label 1</c:f>
              <c:strCache>
                <c:ptCount val="1"/>
                <c:pt idx="0">
                  <c:v>В постоянном пользовани</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Крестьянские хозяйства</c:v>
                </c:pt>
                <c:pt idx="1">
                  <c:v>Личные подсобные хозяйтва</c:v>
                </c:pt>
                <c:pt idx="2">
                  <c:v>Садоводы и их объединения</c:v>
                </c:pt>
                <c:pt idx="3">
                  <c:v>Индивидуальное жилищное строительство</c:v>
                </c:pt>
              </c:strCache>
            </c:strRef>
          </c:cat>
          <c:val>
            <c:numRef>
              <c:f>1</c:f>
              <c:numCache>
                <c:formatCode>General</c:formatCode>
                <c:ptCount val="4"/>
                <c:pt idx="0">
                  <c:v>2.9</c:v>
                </c:pt>
                <c:pt idx="1">
                  <c:v>10.4</c:v>
                </c:pt>
                <c:pt idx="2">
                  <c:v>6.6</c:v>
                </c:pt>
                <c:pt idx="3">
                  <c:v>2.5</c:v>
                </c:pt>
              </c:numCache>
            </c:numRef>
          </c:val>
        </c:ser>
        <c:ser>
          <c:idx val="2"/>
          <c:order val="2"/>
          <c:tx>
            <c:strRef>
              <c:f>label 2</c:f>
              <c:strCache>
                <c:ptCount val="1"/>
                <c:pt idx="0">
                  <c:v>В аренде</c:v>
                </c:pt>
              </c:strCache>
            </c:strRef>
          </c:tx>
          <c:spPr>
            <a:solidFill>
              <a:srgbClr val="9bbb59"/>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Крестьянские хозяйства</c:v>
                </c:pt>
                <c:pt idx="1">
                  <c:v>Личные подсобные хозяйтва</c:v>
                </c:pt>
                <c:pt idx="2">
                  <c:v>Садоводы и их объединения</c:v>
                </c:pt>
                <c:pt idx="3">
                  <c:v>Индивидуальное жилищное строительство</c:v>
                </c:pt>
              </c:strCache>
            </c:strRef>
          </c:cat>
          <c:val>
            <c:numRef>
              <c:f>2</c:f>
              <c:numCache>
                <c:formatCode>General</c:formatCode>
                <c:ptCount val="4"/>
                <c:pt idx="0">
                  <c:v>63.8</c:v>
                </c:pt>
                <c:pt idx="1">
                  <c:v>22.2</c:v>
                </c:pt>
                <c:pt idx="2">
                  <c:v>0.5</c:v>
                </c:pt>
                <c:pt idx="3">
                  <c:v>2.6</c:v>
                </c:pt>
              </c:numCache>
            </c:numRef>
          </c:val>
        </c:ser>
        <c:gapWidth val="150"/>
        <c:overlap val="0"/>
        <c:axId val="60376686"/>
        <c:axId val="94457862"/>
      </c:barChart>
      <c:catAx>
        <c:axId val="60376686"/>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b="0" sz="600" spc="-1" strike="noStrike">
                <a:solidFill>
                  <a:srgbClr val="000000"/>
                </a:solidFill>
                <a:latin typeface="Calibri"/>
              </a:defRPr>
            </a:pPr>
          </a:p>
        </c:txPr>
        <c:crossAx val="94457862"/>
        <c:crosses val="autoZero"/>
        <c:auto val="1"/>
        <c:lblAlgn val="ctr"/>
        <c:lblOffset val="100"/>
        <c:noMultiLvlLbl val="0"/>
      </c:catAx>
      <c:valAx>
        <c:axId val="94457862"/>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60376686"/>
        <c:crosses val="autoZero"/>
        <c:crossBetween val="between"/>
      </c:valAx>
      <c:spPr>
        <a:noFill/>
        <a:ln w="0">
          <a:noFill/>
        </a:ln>
      </c:spPr>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Крестьянские хозяйства</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2012 год</c:v>
                </c:pt>
                <c:pt idx="1">
                  <c:v>2013 год</c:v>
                </c:pt>
                <c:pt idx="2">
                  <c:v>2014 год</c:v>
                </c:pt>
                <c:pt idx="3">
                  <c:v>2015 год</c:v>
                </c:pt>
                <c:pt idx="4">
                  <c:v>2016 год </c:v>
                </c:pt>
              </c:strCache>
            </c:strRef>
          </c:cat>
          <c:val>
            <c:numRef>
              <c:f>0</c:f>
              <c:numCache>
                <c:formatCode>General</c:formatCode>
                <c:ptCount val="5"/>
                <c:pt idx="0">
                  <c:v>88.2</c:v>
                </c:pt>
                <c:pt idx="1">
                  <c:v>100.7</c:v>
                </c:pt>
                <c:pt idx="2">
                  <c:v>110.9</c:v>
                </c:pt>
                <c:pt idx="3">
                  <c:v>119.7</c:v>
                </c:pt>
                <c:pt idx="4">
                  <c:v>133</c:v>
                </c:pt>
              </c:numCache>
            </c:numRef>
          </c:val>
        </c:ser>
        <c:ser>
          <c:idx val="1"/>
          <c:order val="1"/>
          <c:tx>
            <c:strRef>
              <c:f>label 1</c:f>
              <c:strCache>
                <c:ptCount val="1"/>
                <c:pt idx="0">
                  <c:v>Личные подсобные хозяйтва</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2012 год</c:v>
                </c:pt>
                <c:pt idx="1">
                  <c:v>2013 год</c:v>
                </c:pt>
                <c:pt idx="2">
                  <c:v>2014 год</c:v>
                </c:pt>
                <c:pt idx="3">
                  <c:v>2015 год</c:v>
                </c:pt>
                <c:pt idx="4">
                  <c:v>2016 год </c:v>
                </c:pt>
              </c:strCache>
            </c:strRef>
          </c:cat>
          <c:val>
            <c:numRef>
              <c:f>1</c:f>
              <c:numCache>
                <c:formatCode>General</c:formatCode>
                <c:ptCount val="5"/>
                <c:pt idx="0">
                  <c:v>76.3</c:v>
                </c:pt>
                <c:pt idx="1">
                  <c:v>76.6</c:v>
                </c:pt>
                <c:pt idx="2">
                  <c:v>76.9</c:v>
                </c:pt>
                <c:pt idx="3">
                  <c:v>77.1</c:v>
                </c:pt>
                <c:pt idx="4">
                  <c:v>77.4</c:v>
                </c:pt>
              </c:numCache>
            </c:numRef>
          </c:val>
        </c:ser>
        <c:ser>
          <c:idx val="2"/>
          <c:order val="2"/>
          <c:tx>
            <c:strRef>
              <c:f>label 2</c:f>
              <c:strCache>
                <c:ptCount val="1"/>
                <c:pt idx="0">
                  <c:v>Садоводы и их объединения</c:v>
                </c:pt>
              </c:strCache>
            </c:strRef>
          </c:tx>
          <c:spPr>
            <a:solidFill>
              <a:srgbClr val="9bbb59"/>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2012 год</c:v>
                </c:pt>
                <c:pt idx="1">
                  <c:v>2013 год</c:v>
                </c:pt>
                <c:pt idx="2">
                  <c:v>2014 год</c:v>
                </c:pt>
                <c:pt idx="3">
                  <c:v>2015 год</c:v>
                </c:pt>
                <c:pt idx="4">
                  <c:v>2016 год </c:v>
                </c:pt>
              </c:strCache>
            </c:strRef>
          </c:cat>
          <c:val>
            <c:numRef>
              <c:f>2</c:f>
              <c:numCache>
                <c:formatCode>General</c:formatCode>
                <c:ptCount val="5"/>
                <c:pt idx="0">
                  <c:v>23.5</c:v>
                </c:pt>
                <c:pt idx="1">
                  <c:v>23.5</c:v>
                </c:pt>
                <c:pt idx="2">
                  <c:v>23.3</c:v>
                </c:pt>
                <c:pt idx="3">
                  <c:v>23.3</c:v>
                </c:pt>
                <c:pt idx="4">
                  <c:v>23.3</c:v>
                </c:pt>
              </c:numCache>
            </c:numRef>
          </c:val>
        </c:ser>
        <c:ser>
          <c:idx val="3"/>
          <c:order val="3"/>
          <c:tx>
            <c:strRef>
              <c:f>label 3</c:f>
              <c:strCache>
                <c:ptCount val="1"/>
                <c:pt idx="0">
                  <c:v>Индивидуальное жилищное строительство</c:v>
                </c:pt>
              </c:strCache>
            </c:strRef>
          </c:tx>
          <c:spPr>
            <a:solidFill>
              <a:srgbClr val="8064a2"/>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2012 год</c:v>
                </c:pt>
                <c:pt idx="1">
                  <c:v>2013 год</c:v>
                </c:pt>
                <c:pt idx="2">
                  <c:v>2014 год</c:v>
                </c:pt>
                <c:pt idx="3">
                  <c:v>2015 год</c:v>
                </c:pt>
                <c:pt idx="4">
                  <c:v>2016 год </c:v>
                </c:pt>
              </c:strCache>
            </c:strRef>
          </c:cat>
          <c:val>
            <c:numRef>
              <c:f>3</c:f>
              <c:numCache>
                <c:formatCode>General</c:formatCode>
                <c:ptCount val="5"/>
                <c:pt idx="0">
                  <c:v>15</c:v>
                </c:pt>
                <c:pt idx="1">
                  <c:v>15.1</c:v>
                </c:pt>
                <c:pt idx="2">
                  <c:v>15.9</c:v>
                </c:pt>
                <c:pt idx="3">
                  <c:v>17.2</c:v>
                </c:pt>
                <c:pt idx="4">
                  <c:v>17.6</c:v>
                </c:pt>
              </c:numCache>
            </c:numRef>
          </c:val>
        </c:ser>
        <c:ser>
          <c:idx val="4"/>
          <c:order val="4"/>
          <c:tx>
            <c:strRef>
              <c:f>label 4</c:f>
              <c:strCache>
                <c:ptCount val="1"/>
                <c:pt idx="0">
                  <c:v>Огородники и огороднические объединения</c:v>
                </c:pt>
              </c:strCache>
            </c:strRef>
          </c:tx>
          <c:spPr>
            <a:solidFill>
              <a:srgbClr val="4bacc6"/>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2012 год</c:v>
                </c:pt>
                <c:pt idx="1">
                  <c:v>2013 год</c:v>
                </c:pt>
                <c:pt idx="2">
                  <c:v>2014 год</c:v>
                </c:pt>
                <c:pt idx="3">
                  <c:v>2015 год</c:v>
                </c:pt>
                <c:pt idx="4">
                  <c:v>2016 год </c:v>
                </c:pt>
              </c:strCache>
            </c:strRef>
          </c:cat>
          <c:val>
            <c:numRef>
              <c:f>4</c:f>
              <c:numCache>
                <c:formatCode>General</c:formatCode>
                <c:ptCount val="5"/>
                <c:pt idx="0">
                  <c:v>7.2</c:v>
                </c:pt>
                <c:pt idx="1">
                  <c:v>7.2</c:v>
                </c:pt>
                <c:pt idx="2">
                  <c:v>7.1</c:v>
                </c:pt>
                <c:pt idx="3">
                  <c:v>7.1</c:v>
                </c:pt>
                <c:pt idx="4">
                  <c:v>7.1</c:v>
                </c:pt>
              </c:numCache>
            </c:numRef>
          </c:val>
        </c:ser>
        <c:gapWidth val="150"/>
        <c:overlap val="0"/>
        <c:axId val="31818276"/>
        <c:axId val="43326686"/>
      </c:barChart>
      <c:catAx>
        <c:axId val="31818276"/>
        <c:scaling>
          <c:orientation val="minMax"/>
        </c:scaling>
        <c:delete val="0"/>
        <c:axPos val="b"/>
        <c:numFmt formatCode="[$-419]dd/mm/yyyy" sourceLinked="1"/>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43326686"/>
        <c:crosses val="autoZero"/>
        <c:auto val="1"/>
        <c:lblAlgn val="ctr"/>
        <c:lblOffset val="100"/>
        <c:noMultiLvlLbl val="0"/>
      </c:catAx>
      <c:valAx>
        <c:axId val="43326686"/>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31818276"/>
        <c:crosses val="autoZero"/>
        <c:crossBetween val="between"/>
      </c:valAx>
      <c:spPr>
        <a:noFill/>
        <a:ln w="0">
          <a:noFill/>
        </a:ln>
      </c:spPr>
    </c:plotArea>
    <c:legend>
      <c:legendPos val="r"/>
      <c:overlay val="0"/>
      <c:spPr>
        <a:noFill/>
        <a:ln w="0">
          <a:noFill/>
        </a:ln>
      </c:spPr>
      <c:txPr>
        <a:bodyPr/>
        <a:lstStyle/>
        <a:p>
          <a:pPr>
            <a:defRPr b="0" sz="8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0"/>
      <c:perspective val="30"/>
    </c:view3D>
    <c:floor>
      <c:spPr>
        <a:noFill/>
        <a:ln w="9360">
          <a:solidFill>
            <a:srgbClr val="878787"/>
          </a:solidFill>
          <a:round/>
        </a:ln>
      </c:spPr>
    </c:floor>
    <c:sideWall>
      <c:spPr>
        <a:noFill/>
        <a:ln w="9360">
          <a:solidFill>
            <a:srgbClr val="878787"/>
          </a:solidFill>
          <a:round/>
        </a:ln>
      </c:spPr>
    </c:sideWall>
    <c:backWall>
      <c:spPr>
        <a:noFill/>
        <a:ln w="9360">
          <a:solidFill>
            <a:srgbClr val="878787"/>
          </a:solidFill>
          <a:round/>
        </a:ln>
      </c:spPr>
    </c:backWall>
    <c:plotArea>
      <c:bar3DChart>
        <c:barDir val="col"/>
        <c:grouping val="clustered"/>
        <c:varyColors val="0"/>
        <c:ser>
          <c:idx val="0"/>
          <c:order val="0"/>
          <c:tx>
            <c:strRef>
              <c:f>label 0</c:f>
              <c:strCache>
                <c:ptCount val="1"/>
                <c:pt idx="0">
                  <c:v>2014</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Проверки</c:v>
                </c:pt>
                <c:pt idx="1">
                  <c:v>Выявлено</c:v>
                </c:pt>
                <c:pt idx="2">
                  <c:v>Привлечено</c:v>
                </c:pt>
                <c:pt idx="3">
                  <c:v>Наложено</c:v>
                </c:pt>
              </c:strCache>
            </c:strRef>
          </c:cat>
          <c:val>
            <c:numRef>
              <c:f>0</c:f>
              <c:numCache>
                <c:formatCode>General</c:formatCode>
                <c:ptCount val="4"/>
                <c:pt idx="0">
                  <c:v>3455</c:v>
                </c:pt>
                <c:pt idx="1">
                  <c:v>1826</c:v>
                </c:pt>
                <c:pt idx="2">
                  <c:v>2135</c:v>
                </c:pt>
                <c:pt idx="3">
                  <c:v>2591</c:v>
                </c:pt>
              </c:numCache>
            </c:numRef>
          </c:val>
        </c:ser>
        <c:ser>
          <c:idx val="1"/>
          <c:order val="1"/>
          <c:tx>
            <c:strRef>
              <c:f>label 1</c:f>
              <c:strCache>
                <c:ptCount val="1"/>
                <c:pt idx="0">
                  <c:v>2015</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Проверки</c:v>
                </c:pt>
                <c:pt idx="1">
                  <c:v>Выявлено</c:v>
                </c:pt>
                <c:pt idx="2">
                  <c:v>Привлечено</c:v>
                </c:pt>
                <c:pt idx="3">
                  <c:v>Наложено</c:v>
                </c:pt>
              </c:strCache>
            </c:strRef>
          </c:cat>
          <c:val>
            <c:numRef>
              <c:f>1</c:f>
              <c:numCache>
                <c:formatCode>General</c:formatCode>
                <c:ptCount val="4"/>
                <c:pt idx="0">
                  <c:v>2623</c:v>
                </c:pt>
                <c:pt idx="1">
                  <c:v>1366</c:v>
                </c:pt>
                <c:pt idx="2">
                  <c:v>835</c:v>
                </c:pt>
                <c:pt idx="3">
                  <c:v>17254</c:v>
                </c:pt>
              </c:numCache>
            </c:numRef>
          </c:val>
        </c:ser>
        <c:ser>
          <c:idx val="2"/>
          <c:order val="2"/>
          <c:tx>
            <c:strRef>
              <c:f>label 2</c:f>
              <c:strCache>
                <c:ptCount val="1"/>
                <c:pt idx="0">
                  <c:v>2016</c:v>
                </c:pt>
              </c:strCache>
            </c:strRef>
          </c:tx>
          <c:spPr>
            <a:solidFill>
              <a:srgbClr val="9bbb59"/>
            </a:solidFill>
            <a:ln w="0">
              <a:noFill/>
            </a:ln>
          </c:spPr>
          <c:invertIfNegative val="0"/>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Проверки</c:v>
                </c:pt>
                <c:pt idx="1">
                  <c:v>Выявлено</c:v>
                </c:pt>
                <c:pt idx="2">
                  <c:v>Привлечено</c:v>
                </c:pt>
                <c:pt idx="3">
                  <c:v>Наложено</c:v>
                </c:pt>
              </c:strCache>
            </c:strRef>
          </c:cat>
          <c:val>
            <c:numRef>
              <c:f>2</c:f>
              <c:numCache>
                <c:formatCode>General</c:formatCode>
                <c:ptCount val="4"/>
                <c:pt idx="0">
                  <c:v>2195</c:v>
                </c:pt>
                <c:pt idx="1">
                  <c:v>1260</c:v>
                </c:pt>
                <c:pt idx="2">
                  <c:v>757</c:v>
                </c:pt>
                <c:pt idx="3">
                  <c:v>12053</c:v>
                </c:pt>
              </c:numCache>
            </c:numRef>
          </c:val>
        </c:ser>
        <c:gapWidth val="150"/>
        <c:shape val="cylinder"/>
        <c:axId val="1272681"/>
        <c:axId val="39314212"/>
        <c:axId val="0"/>
      </c:bar3DChart>
      <c:catAx>
        <c:axId val="1272681"/>
        <c:scaling>
          <c:orientation val="minMax"/>
        </c:scaling>
        <c:delete val="0"/>
        <c:axPos val="b"/>
        <c:numFmt formatCode="[$-419]dd/mm/yyyy" sourceLinked="1"/>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39314212"/>
        <c:crosses val="autoZero"/>
        <c:auto val="1"/>
        <c:lblAlgn val="ctr"/>
        <c:lblOffset val="100"/>
        <c:noMultiLvlLbl val="0"/>
      </c:catAx>
      <c:valAx>
        <c:axId val="39314212"/>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1272681"/>
        <c:crosses val="autoZero"/>
        <c:crossBetween val="between"/>
      </c:valAx>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Структура выявленных нарушений земельного законодательства</c:v>
                </c:pt>
              </c:strCache>
            </c:strRef>
          </c:tx>
          <c:spPr>
            <a:solidFill>
              <a:srgbClr val="4f81bd"/>
            </a:solidFill>
            <a:ln w="0">
              <a:noFill/>
            </a:ln>
          </c:spPr>
          <c:explosion val="25"/>
          <c:dPt>
            <c:idx val="0"/>
            <c:spPr>
              <a:solidFill>
                <a:srgbClr val="4f81bd"/>
              </a:solidFill>
              <a:ln w="0">
                <a:noFill/>
              </a:ln>
            </c:spPr>
          </c:dPt>
          <c:dPt>
            <c:idx val="1"/>
            <c:explosion val="25"/>
            <c:spPr>
              <a:solidFill>
                <a:srgbClr val="c0504d"/>
              </a:solidFill>
              <a:ln w="0">
                <a:noFill/>
              </a:ln>
            </c:spPr>
          </c:dPt>
          <c:dPt>
            <c:idx val="2"/>
            <c:explosion val="25"/>
            <c:spPr>
              <a:solidFill>
                <a:srgbClr val="9bbb59"/>
              </a:solidFill>
              <a:ln w="0">
                <a:noFill/>
              </a:ln>
            </c:spPr>
          </c:dPt>
          <c:dPt>
            <c:idx val="3"/>
            <c:explosion val="25"/>
            <c:spPr>
              <a:solidFill>
                <a:srgbClr val="8064a2"/>
              </a:solidFill>
              <a:ln w="0">
                <a:noFill/>
              </a:ln>
            </c:spPr>
          </c:dPt>
          <c:dPt>
            <c:idx val="4"/>
            <c:explosion val="25"/>
            <c:spPr>
              <a:solidFill>
                <a:srgbClr val="4bacc6"/>
              </a:solidFill>
              <a:ln w="0">
                <a:noFill/>
              </a:ln>
            </c:spPr>
          </c:dPt>
          <c:dPt>
            <c:idx val="5"/>
            <c:explosion val="25"/>
            <c:spPr>
              <a:solidFill>
                <a:srgbClr val="f79646"/>
              </a:solidFill>
              <a:ln w="0">
                <a:noFill/>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4"/>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5"/>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6"/>
                <c:pt idx="0">
                  <c:v>ст. 7.1 КоАП РФ</c:v>
                </c:pt>
                <c:pt idx="1">
                  <c:v>ст. 8.8 КоАП РФ</c:v>
                </c:pt>
                <c:pt idx="2">
                  <c:v>иные нарушения</c:v>
                </c:pt>
                <c:pt idx="3">
                  <c:v/>
                </c:pt>
                <c:pt idx="4">
                  <c:v/>
                </c:pt>
                <c:pt idx="5">
                  <c:v>ст. 7..34 КоАП РФ</c:v>
                </c:pt>
              </c:strCache>
            </c:strRef>
          </c:cat>
          <c:val>
            <c:numRef>
              <c:f>0</c:f>
              <c:numCache>
                <c:formatCode>General</c:formatCode>
                <c:ptCount val="6"/>
                <c:pt idx="0">
                  <c:v>894</c:v>
                </c:pt>
                <c:pt idx="1">
                  <c:v>208</c:v>
                </c:pt>
                <c:pt idx="2">
                  <c:v>153</c:v>
                </c:pt>
                <c:pt idx="5">
                  <c:v>5</c:v>
                </c:pt>
              </c:numCache>
            </c:numRef>
          </c:val>
        </c:ser>
      </c:pie3DChart>
    </c:plotArea>
    <c:legend>
      <c:legendPos val="b"/>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75"/>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Выявлено</c:v>
                </c:pt>
              </c:strCache>
            </c:strRef>
          </c:tx>
          <c:spPr>
            <a:solidFill>
              <a:srgbClr val="4f81bd"/>
            </a:solidFill>
            <a:ln w="0">
              <a:noFill/>
            </a:ln>
          </c:spPr>
          <c:explosion val="0"/>
          <c:dPt>
            <c:idx val="0"/>
            <c:spPr>
              <a:solidFill>
                <a:srgbClr val="4f81bd"/>
              </a:solidFill>
              <a:ln w="0">
                <a:noFill/>
              </a:ln>
            </c:spPr>
          </c:dPt>
          <c:dPt>
            <c:idx val="1"/>
            <c:spPr>
              <a:solidFill>
                <a:srgbClr val="c0504d"/>
              </a:solidFill>
              <a:ln w="0">
                <a:noFill/>
              </a:ln>
            </c:spPr>
          </c:dPt>
          <c:dPt>
            <c:idx val="2"/>
            <c:spPr>
              <a:solidFill>
                <a:srgbClr val="9bbb59"/>
              </a:solidFill>
              <a:ln w="0">
                <a:noFill/>
              </a:ln>
            </c:spPr>
          </c:dPt>
          <c:dPt>
            <c:idx val="3"/>
            <c:spPr>
              <a:solidFill>
                <a:srgbClr val="8064a2"/>
              </a:solidFill>
              <a:ln w="0">
                <a:noFill/>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4"/>
                <c:pt idx="0">
                  <c:v>ст.19.4.1 КоАП РФ</c:v>
                </c:pt>
                <c:pt idx="1">
                  <c:v>ч.1 ст.19.5 КоАП РФ</c:v>
                </c:pt>
                <c:pt idx="2">
                  <c:v>ч.1 ст. 20.25 КоАП РФ</c:v>
                </c:pt>
                <c:pt idx="3">
                  <c:v/>
                </c:pt>
              </c:strCache>
            </c:strRef>
          </c:cat>
          <c:val>
            <c:numRef>
              <c:f>0</c:f>
              <c:numCache>
                <c:formatCode>General</c:formatCode>
                <c:ptCount val="4"/>
                <c:pt idx="0">
                  <c:v>85</c:v>
                </c:pt>
                <c:pt idx="1">
                  <c:v>198</c:v>
                </c:pt>
                <c:pt idx="2">
                  <c:v>63</c:v>
                </c:pt>
              </c:numCache>
            </c:numRef>
          </c:val>
        </c:ser>
        <c:ser>
          <c:idx val="1"/>
          <c:order val="1"/>
          <c:tx>
            <c:strRef>
              <c:f>label 1</c:f>
              <c:strCache>
                <c:ptCount val="1"/>
                <c:pt idx="0">
                  <c:v>Столбец2</c:v>
                </c:pt>
              </c:strCache>
            </c:strRef>
          </c:tx>
          <c:spPr>
            <a:solidFill>
              <a:srgbClr val="c0504d"/>
            </a:solidFill>
            <a:ln w="0">
              <a:noFill/>
            </a:ln>
          </c:spPr>
          <c:explosion val="0"/>
          <c:dPt>
            <c:idx val="0"/>
            <c:spPr>
              <a:solidFill>
                <a:srgbClr val="4f81bd"/>
              </a:solidFill>
              <a:ln w="0">
                <a:noFill/>
              </a:ln>
            </c:spPr>
          </c:dPt>
          <c:dPt>
            <c:idx val="1"/>
            <c:spPr>
              <a:solidFill>
                <a:srgbClr val="c0504d"/>
              </a:solidFill>
              <a:ln w="0">
                <a:noFill/>
              </a:ln>
            </c:spPr>
          </c:dPt>
          <c:dPt>
            <c:idx val="2"/>
            <c:spPr>
              <a:solidFill>
                <a:srgbClr val="9bbb59"/>
              </a:solidFill>
              <a:ln w="0">
                <a:noFill/>
              </a:ln>
            </c:spPr>
          </c:dPt>
          <c:dPt>
            <c:idx val="3"/>
            <c:spPr>
              <a:solidFill>
                <a:srgbClr val="8064a2"/>
              </a:solidFill>
              <a:ln w="0">
                <a:noFill/>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4"/>
                <c:pt idx="0">
                  <c:v>ст.19.4.1 КоАП РФ</c:v>
                </c:pt>
                <c:pt idx="1">
                  <c:v>ч.1 ст.19.5 КоАП РФ</c:v>
                </c:pt>
                <c:pt idx="2">
                  <c:v>ч.1 ст. 20.25 КоАП РФ</c:v>
                </c:pt>
                <c:pt idx="3">
                  <c:v/>
                </c:pt>
              </c:strCache>
            </c:strRef>
          </c:cat>
          <c:val>
            <c:numRef>
              <c:f>1</c:f>
              <c:numCache>
                <c:formatCode>General</c:formatCode>
                <c:ptCount val="4"/>
              </c:numCache>
            </c:numRef>
          </c:val>
        </c:ser>
      </c:pie3DChart>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Ряд1</c:v>
                </c:pt>
              </c:strCache>
            </c:strRef>
          </c:tx>
          <c:spPr>
            <a:solidFill>
              <a:srgbClr val="4f81bd"/>
            </a:solidFill>
            <a:ln w="0">
              <a:noFill/>
            </a:ln>
          </c:spPr>
          <c:explosion val="25"/>
          <c:dPt>
            <c:idx val="0"/>
            <c:explosion val="25"/>
            <c:spPr>
              <a:solidFill>
                <a:srgbClr val="4672a8"/>
              </a:solidFill>
              <a:ln w="0">
                <a:noFill/>
              </a:ln>
            </c:spPr>
          </c:dPt>
          <c:dPt>
            <c:idx val="1"/>
            <c:explosion val="25"/>
            <c:spPr>
              <a:solidFill>
                <a:srgbClr val="ab4744"/>
              </a:solidFill>
              <a:ln w="0">
                <a:noFill/>
              </a:ln>
            </c:spPr>
          </c:dPt>
          <c:dPt>
            <c:idx val="2"/>
            <c:explosion val="25"/>
            <c:spPr>
              <a:solidFill>
                <a:srgbClr val="8aa64f"/>
              </a:solidFill>
              <a:ln w="0">
                <a:noFill/>
              </a:ln>
            </c:spPr>
          </c:dPt>
          <c:dPt>
            <c:idx val="3"/>
            <c:explosion val="25"/>
            <c:spPr>
              <a:solidFill>
                <a:srgbClr val="725990"/>
              </a:solidFill>
              <a:ln w="0">
                <a:noFill/>
              </a:ln>
            </c:spPr>
          </c:dPt>
          <c:dPt>
            <c:idx val="4"/>
            <c:explosion val="25"/>
            <c:spPr>
              <a:solidFill>
                <a:srgbClr val="4299b0"/>
              </a:solidFill>
              <a:ln w="0">
                <a:noFill/>
              </a:ln>
            </c:spPr>
          </c:dPt>
          <c:dPt>
            <c:idx val="5"/>
            <c:explosion val="25"/>
            <c:spPr>
              <a:solidFill>
                <a:srgbClr val="dc853e"/>
              </a:solidFill>
              <a:ln w="0">
                <a:noFill/>
              </a:ln>
            </c:spPr>
          </c:dPt>
          <c:dPt>
            <c:idx val="6"/>
            <c:explosion val="25"/>
            <c:spPr>
              <a:solidFill>
                <a:srgbClr val="93a9ce"/>
              </a:solidFill>
              <a:ln w="0">
                <a:noFill/>
              </a:ln>
            </c:spPr>
          </c:dPt>
          <c:dPt>
            <c:idx val="7"/>
            <c:explosion val="25"/>
            <c:spPr>
              <a:solidFill>
                <a:srgbClr val="d09493"/>
              </a:solidFill>
              <a:ln w="0">
                <a:noFill/>
              </a:ln>
            </c:spPr>
          </c:dPt>
          <c:dPt>
            <c:idx val="8"/>
            <c:explosion val="25"/>
            <c:spPr>
              <a:solidFill>
                <a:srgbClr val="b8cd97"/>
              </a:solidFill>
              <a:ln w="0">
                <a:noFill/>
              </a:ln>
            </c:spPr>
          </c:dPt>
          <c:dPt>
            <c:idx val="9"/>
            <c:explosion val="25"/>
            <c:spPr>
              <a:solidFill>
                <a:srgbClr val="a99bbd"/>
              </a:solidFill>
              <a:ln w="0">
                <a:noFill/>
              </a:ln>
            </c:spPr>
          </c:dPt>
          <c:dPt>
            <c:idx val="10"/>
            <c:explosion val="25"/>
            <c:spPr>
              <a:solidFill>
                <a:srgbClr val="92c3d5"/>
              </a:solidFill>
              <a:ln w="0">
                <a:noFill/>
              </a:ln>
            </c:spPr>
          </c:dPt>
          <c:dPt>
            <c:idx val="11"/>
            <c:explosion val="25"/>
            <c:spPr>
              <a:solidFill>
                <a:srgbClr val="f8b590"/>
              </a:solidFill>
              <a:ln w="0">
                <a:noFill/>
              </a:ln>
            </c:spPr>
          </c:dPt>
          <c:dLbls>
            <c:numFmt formatCode="0.00%" sourceLinked="0"/>
            <c:dLbl>
              <c:idx val="0"/>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2"/>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3"/>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4"/>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5"/>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6"/>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7"/>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8"/>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9"/>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0"/>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1"/>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showLeaderLines val="1"/>
          </c:dLbls>
          <c:cat>
            <c:strRef>
              <c:f>categories</c:f>
              <c:strCache>
                <c:ptCount val="12"/>
                <c:pt idx="0">
                  <c:v>Земли промышленности</c:v>
                </c:pt>
                <c:pt idx="1">
                  <c:v>Земли общего пользования</c:v>
                </c:pt>
                <c:pt idx="2">
                  <c:v>Земли под объектами транспорта, связи, инженерных коммуникаций</c:v>
                </c:pt>
                <c:pt idx="3">
                  <c:v>Земли сельскохозяйственного использования</c:v>
                </c:pt>
                <c:pt idx="4">
                  <c:v>Земли особо охраняемых территорий и объектов</c:v>
                </c:pt>
                <c:pt idx="5">
                  <c:v>Земли лесничеств и лесопарков</c:v>
                </c:pt>
                <c:pt idx="6">
                  <c:v>Земли под водными объектами</c:v>
                </c:pt>
                <c:pt idx="7">
                  <c:v>Земли под военными и иными режимными объектами</c:v>
                </c:pt>
                <c:pt idx="8">
                  <c:v>Земли под объектами иного специального назначения</c:v>
                </c:pt>
                <c:pt idx="9">
                  <c:v>Земли, не вовлеченные в градостроительную и иную деятельность</c:v>
                </c:pt>
                <c:pt idx="10">
                  <c:v/>
                </c:pt>
                <c:pt idx="11">
                  <c:v/>
                </c:pt>
              </c:strCache>
            </c:strRef>
          </c:cat>
          <c:val>
            <c:numRef>
              <c:f>0</c:f>
              <c:numCache>
                <c:formatCode>General</c:formatCode>
                <c:ptCount val="12"/>
                <c:pt idx="0">
                  <c:v>0.072</c:v>
                </c:pt>
                <c:pt idx="1">
                  <c:v>0.058</c:v>
                </c:pt>
                <c:pt idx="2">
                  <c:v>0.053</c:v>
                </c:pt>
                <c:pt idx="3">
                  <c:v>0.097</c:v>
                </c:pt>
                <c:pt idx="4">
                  <c:v>0.107</c:v>
                </c:pt>
                <c:pt idx="5">
                  <c:v>0.055</c:v>
                </c:pt>
                <c:pt idx="6">
                  <c:v>0.01</c:v>
                </c:pt>
                <c:pt idx="7">
                  <c:v>0.075</c:v>
                </c:pt>
                <c:pt idx="8">
                  <c:v>0.007</c:v>
                </c:pt>
                <c:pt idx="9">
                  <c:v>0.161</c:v>
                </c:pt>
              </c:numCache>
            </c:numRef>
          </c:val>
        </c:ser>
      </c:pie3DChart>
    </c:plotArea>
    <c:legend>
      <c:legendPos val="r"/>
      <c:layout>
        <c:manualLayout>
          <c:xMode val="edge"/>
          <c:yMode val="edge"/>
          <c:x val="0.6604375"/>
          <c:y val="0.03"/>
          <c:w val="0.322832677042315"/>
          <c:h val="0.9537726414046"/>
        </c:manualLayout>
      </c:layout>
      <c:overlay val="0"/>
      <c:spPr>
        <a:noFill/>
        <a:ln w="0">
          <a:noFill/>
        </a:ln>
      </c:spPr>
      <c:txPr>
        <a:bodyPr/>
        <a:lstStyle/>
        <a:p>
          <a:pPr>
            <a:defRPr b="0" sz="6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0"/>
      <c:perspective val="30"/>
    </c:view3D>
    <c:floor>
      <c:spPr>
        <a:noFill/>
        <a:ln w="9360">
          <a:solidFill>
            <a:srgbClr val="878787"/>
          </a:solidFill>
          <a:round/>
        </a:ln>
      </c:spPr>
    </c:floor>
    <c:sideWall>
      <c:spPr>
        <a:noFill/>
        <a:ln w="9360">
          <a:solidFill>
            <a:srgbClr val="878787"/>
          </a:solidFill>
          <a:round/>
        </a:ln>
      </c:spPr>
    </c:sideWall>
    <c:backWall>
      <c:spPr>
        <a:noFill/>
        <a:ln w="9360">
          <a:solidFill>
            <a:srgbClr val="878787"/>
          </a:solidFill>
          <a:round/>
        </a:ln>
      </c:spPr>
    </c:backWall>
    <c:plotArea>
      <c:bar3DChart>
        <c:barDir val="col"/>
        <c:grouping val="standard"/>
        <c:varyColors val="0"/>
        <c:ser>
          <c:idx val="0"/>
          <c:order val="0"/>
          <c:tx>
            <c:strRef>
              <c:f>label 0</c:f>
              <c:strCache>
                <c:ptCount val="1"/>
                <c:pt idx="0">
                  <c:v>2016</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Проведено проверок</c:v>
                </c:pt>
                <c:pt idx="1">
                  <c:v>Выявлено нарушений</c:v>
                </c:pt>
                <c:pt idx="2">
                  <c:v>Привлечено</c:v>
                </c:pt>
                <c:pt idx="3">
                  <c:v>Наложено штрафов</c:v>
                </c:pt>
                <c:pt idx="4">
                  <c:v>Взыскано штрафов</c:v>
                </c:pt>
                <c:pt idx="5">
                  <c:v>Устранено нарушений</c:v>
                </c:pt>
              </c:strCache>
            </c:strRef>
          </c:cat>
          <c:val>
            <c:numRef>
              <c:f>0</c:f>
              <c:numCache>
                <c:formatCode>General</c:formatCode>
                <c:ptCount val="6"/>
                <c:pt idx="0">
                  <c:v>2195</c:v>
                </c:pt>
                <c:pt idx="1">
                  <c:v>1260</c:v>
                </c:pt>
                <c:pt idx="2">
                  <c:v>1048</c:v>
                </c:pt>
                <c:pt idx="3">
                  <c:v>12053</c:v>
                </c:pt>
                <c:pt idx="4">
                  <c:v>7436</c:v>
                </c:pt>
                <c:pt idx="5">
                  <c:v>573</c:v>
                </c:pt>
              </c:numCache>
            </c:numRef>
          </c:val>
        </c:ser>
        <c:ser>
          <c:idx val="1"/>
          <c:order val="1"/>
          <c:tx>
            <c:strRef>
              <c:f>label 1</c:f>
              <c:strCache>
                <c:ptCount val="1"/>
                <c:pt idx="0">
                  <c:v>Столбец1</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Проведено проверок</c:v>
                </c:pt>
                <c:pt idx="1">
                  <c:v>Выявлено нарушений</c:v>
                </c:pt>
                <c:pt idx="2">
                  <c:v>Привлечено</c:v>
                </c:pt>
                <c:pt idx="3">
                  <c:v>Наложено штрафов</c:v>
                </c:pt>
                <c:pt idx="4">
                  <c:v>Взыскано штрафов</c:v>
                </c:pt>
                <c:pt idx="5">
                  <c:v>Устранено нарушений</c:v>
                </c:pt>
              </c:strCache>
            </c:strRef>
          </c:cat>
          <c:val>
            <c:numRef>
              <c:f>1</c:f>
              <c:numCache>
                <c:formatCode>General</c:formatCode>
                <c:ptCount val="6"/>
                <c:pt idx="0">
                  <c:v>2623</c:v>
                </c:pt>
                <c:pt idx="1">
                  <c:v>1366</c:v>
                </c:pt>
                <c:pt idx="2">
                  <c:v>1603</c:v>
                </c:pt>
                <c:pt idx="3">
                  <c:v>17254</c:v>
                </c:pt>
                <c:pt idx="4">
                  <c:v>5577</c:v>
                </c:pt>
                <c:pt idx="5">
                  <c:v>518</c:v>
                </c:pt>
              </c:numCache>
            </c:numRef>
          </c:val>
        </c:ser>
        <c:gapWidth val="150"/>
        <c:shape val="cylinder"/>
        <c:axId val="16721738"/>
        <c:axId val="19866022"/>
        <c:axId val="31913609"/>
      </c:bar3DChart>
      <c:catAx>
        <c:axId val="16721738"/>
        <c:scaling>
          <c:orientation val="minMax"/>
        </c:scaling>
        <c:delete val="0"/>
        <c:axPos val="b"/>
        <c:numFmt formatCode="[$-419]dd/mm/yyyy" sourceLinked="1"/>
        <c:majorTickMark val="out"/>
        <c:minorTickMark val="none"/>
        <c:tickLblPos val="nextTo"/>
        <c:spPr>
          <a:ln w="9360">
            <a:solidFill>
              <a:srgbClr val="878787"/>
            </a:solidFill>
            <a:round/>
          </a:ln>
        </c:spPr>
        <c:txPr>
          <a:bodyPr/>
          <a:lstStyle/>
          <a:p>
            <a:pPr>
              <a:defRPr b="0" sz="900" spc="-1" strike="noStrike">
                <a:solidFill>
                  <a:srgbClr val="000000"/>
                </a:solidFill>
                <a:latin typeface="Calibri"/>
              </a:defRPr>
            </a:pPr>
          </a:p>
        </c:txPr>
        <c:crossAx val="19866022"/>
        <c:crosses val="autoZero"/>
        <c:auto val="1"/>
        <c:lblAlgn val="ctr"/>
        <c:lblOffset val="100"/>
        <c:noMultiLvlLbl val="0"/>
      </c:catAx>
      <c:valAx>
        <c:axId val="19866022"/>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900" spc="-1" strike="noStrike">
                <a:solidFill>
                  <a:srgbClr val="000000"/>
                </a:solidFill>
                <a:latin typeface="Calibri"/>
              </a:defRPr>
            </a:pPr>
          </a:p>
        </c:txPr>
        <c:crossAx val="16721738"/>
        <c:crosses val="autoZero"/>
        <c:crossBetween val="between"/>
      </c:valAx>
      <c:serAx>
        <c:axId val="31913609"/>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19866022"/>
        <c:crosses val="autoZero"/>
      </c:serAx>
    </c:plotArea>
    <c:legend>
      <c:legendPos val="r"/>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1"/>
      <c:perspective val="30"/>
    </c:view3D>
    <c:floor>
      <c:spPr>
        <a:noFill/>
        <a:ln w="9360">
          <a:solidFill>
            <a:srgbClr val="878787"/>
          </a:solidFill>
          <a:round/>
        </a:ln>
      </c:spPr>
    </c:floor>
    <c:sideWall>
      <c:spPr>
        <a:noFill/>
        <a:ln w="9360">
          <a:solidFill>
            <a:srgbClr val="878787"/>
          </a:solidFill>
          <a:round/>
        </a:ln>
      </c:spPr>
    </c:sideWall>
    <c:backWall>
      <c:spPr>
        <a:noFill/>
        <a:ln w="9360">
          <a:solidFill>
            <a:srgbClr val="878787"/>
          </a:solidFill>
          <a:round/>
        </a:ln>
      </c:spPr>
    </c:backWall>
    <c:plotArea>
      <c:bar3DChart>
        <c:barDir val="col"/>
        <c:grouping val="clustered"/>
        <c:varyColors val="0"/>
        <c:ser>
          <c:idx val="0"/>
          <c:order val="0"/>
          <c:tx>
            <c:strRef>
              <c:f>label 0</c:f>
              <c:strCache>
                <c:ptCount val="1"/>
                <c:pt idx="0">
                  <c:v>2014</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
                </c:pt>
                <c:pt idx="1">
                  <c:v/>
                </c:pt>
                <c:pt idx="2">
                  <c:v/>
                </c:pt>
                <c:pt idx="3">
                  <c:v/>
                </c:pt>
              </c:strCache>
            </c:strRef>
          </c:cat>
          <c:val>
            <c:numRef>
              <c:f>0</c:f>
              <c:numCache>
                <c:formatCode>General</c:formatCode>
                <c:ptCount val="4"/>
                <c:pt idx="0">
                  <c:v>207</c:v>
                </c:pt>
              </c:numCache>
            </c:numRef>
          </c:val>
        </c:ser>
        <c:ser>
          <c:idx val="1"/>
          <c:order val="1"/>
          <c:tx>
            <c:strRef>
              <c:f>label 1</c:f>
              <c:strCache>
                <c:ptCount val="1"/>
                <c:pt idx="0">
                  <c:v>2015</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
                </c:pt>
                <c:pt idx="1">
                  <c:v/>
                </c:pt>
                <c:pt idx="2">
                  <c:v/>
                </c:pt>
                <c:pt idx="3">
                  <c:v/>
                </c:pt>
              </c:strCache>
            </c:strRef>
          </c:cat>
          <c:val>
            <c:numRef>
              <c:f>1</c:f>
              <c:numCache>
                <c:formatCode>General</c:formatCode>
                <c:ptCount val="4"/>
                <c:pt idx="0">
                  <c:v>363</c:v>
                </c:pt>
              </c:numCache>
            </c:numRef>
          </c:val>
        </c:ser>
        <c:ser>
          <c:idx val="2"/>
          <c:order val="2"/>
          <c:tx>
            <c:strRef>
              <c:f>label 2</c:f>
              <c:strCache>
                <c:ptCount val="1"/>
                <c:pt idx="0">
                  <c:v>2016</c:v>
                </c:pt>
              </c:strCache>
            </c:strRef>
          </c:tx>
          <c:spPr>
            <a:solidFill>
              <a:srgbClr val="9bbb59"/>
            </a:solidFill>
            <a:ln w="0">
              <a:noFill/>
            </a:ln>
          </c:spPr>
          <c:invertIfNegative val="0"/>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
                </c:pt>
                <c:pt idx="1">
                  <c:v/>
                </c:pt>
                <c:pt idx="2">
                  <c:v/>
                </c:pt>
                <c:pt idx="3">
                  <c:v/>
                </c:pt>
              </c:strCache>
            </c:strRef>
          </c:cat>
          <c:val>
            <c:numRef>
              <c:f>2</c:f>
              <c:numCache>
                <c:formatCode>General</c:formatCode>
                <c:ptCount val="4"/>
                <c:pt idx="0">
                  <c:v>661</c:v>
                </c:pt>
              </c:numCache>
            </c:numRef>
          </c:val>
        </c:ser>
        <c:gapWidth val="150"/>
        <c:shape val="cone"/>
        <c:axId val="60334360"/>
        <c:axId val="4242656"/>
        <c:axId val="0"/>
      </c:bar3DChart>
      <c:catAx>
        <c:axId val="60334360"/>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4242656"/>
        <c:crosses val="autoZero"/>
        <c:auto val="1"/>
        <c:lblAlgn val="ctr"/>
        <c:lblOffset val="100"/>
        <c:noMultiLvlLbl val="0"/>
      </c:catAx>
      <c:valAx>
        <c:axId val="4242656"/>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60334360"/>
        <c:crosses val="autoZero"/>
        <c:crossBetween val="between"/>
      </c:valAx>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Ряд1</c:v>
                </c:pt>
              </c:strCache>
            </c:strRef>
          </c:tx>
          <c:spPr>
            <a:solidFill>
              <a:srgbClr val="4f81bd"/>
            </a:solidFill>
            <a:ln w="0">
              <a:noFill/>
            </a:ln>
          </c:spPr>
          <c:explosion val="25"/>
          <c:dPt>
            <c:idx val="0"/>
            <c:explosion val="25"/>
            <c:spPr>
              <a:solidFill>
                <a:srgbClr val="4672a8"/>
              </a:solidFill>
              <a:ln w="0">
                <a:noFill/>
              </a:ln>
            </c:spPr>
          </c:dPt>
          <c:dPt>
            <c:idx val="1"/>
            <c:explosion val="25"/>
            <c:spPr>
              <a:solidFill>
                <a:srgbClr val="ab4744"/>
              </a:solidFill>
              <a:ln w="0">
                <a:noFill/>
              </a:ln>
            </c:spPr>
          </c:dPt>
          <c:dPt>
            <c:idx val="2"/>
            <c:explosion val="25"/>
            <c:spPr>
              <a:solidFill>
                <a:srgbClr val="8aa64f"/>
              </a:solidFill>
              <a:ln w="0">
                <a:noFill/>
              </a:ln>
            </c:spPr>
          </c:dPt>
          <c:dPt>
            <c:idx val="3"/>
            <c:explosion val="25"/>
            <c:spPr>
              <a:solidFill>
                <a:srgbClr val="725990"/>
              </a:solidFill>
              <a:ln w="0">
                <a:noFill/>
              </a:ln>
            </c:spPr>
          </c:dPt>
          <c:dPt>
            <c:idx val="4"/>
            <c:explosion val="25"/>
            <c:spPr>
              <a:solidFill>
                <a:srgbClr val="4299b0"/>
              </a:solidFill>
              <a:ln w="0">
                <a:noFill/>
              </a:ln>
            </c:spPr>
          </c:dPt>
          <c:dPt>
            <c:idx val="5"/>
            <c:explosion val="25"/>
            <c:spPr>
              <a:solidFill>
                <a:srgbClr val="dc853e"/>
              </a:solidFill>
              <a:ln w="0">
                <a:noFill/>
              </a:ln>
            </c:spPr>
          </c:dPt>
          <c:dPt>
            <c:idx val="6"/>
            <c:explosion val="25"/>
            <c:spPr>
              <a:solidFill>
                <a:srgbClr val="93a9ce"/>
              </a:solidFill>
              <a:ln w="0">
                <a:noFill/>
              </a:ln>
            </c:spPr>
          </c:dPt>
          <c:dPt>
            <c:idx val="7"/>
            <c:explosion val="25"/>
            <c:spPr>
              <a:solidFill>
                <a:srgbClr val="d09493"/>
              </a:solidFill>
              <a:ln w="0">
                <a:noFill/>
              </a:ln>
            </c:spPr>
          </c:dPt>
          <c:dPt>
            <c:idx val="8"/>
            <c:explosion val="25"/>
            <c:spPr>
              <a:solidFill>
                <a:srgbClr val="b8cd97"/>
              </a:solidFill>
              <a:ln w="0">
                <a:noFill/>
              </a:ln>
            </c:spPr>
          </c:dPt>
          <c:dPt>
            <c:idx val="9"/>
            <c:explosion val="25"/>
            <c:spPr>
              <a:solidFill>
                <a:srgbClr val="a99bbd"/>
              </a:solidFill>
              <a:ln w="0">
                <a:noFill/>
              </a:ln>
            </c:spPr>
          </c:dPt>
          <c:dPt>
            <c:idx val="10"/>
            <c:explosion val="25"/>
            <c:spPr>
              <a:solidFill>
                <a:srgbClr val="92c3d5"/>
              </a:solidFill>
              <a:ln w="0">
                <a:noFill/>
              </a:ln>
            </c:spPr>
          </c:dPt>
          <c:dPt>
            <c:idx val="11"/>
            <c:explosion val="25"/>
            <c:spPr>
              <a:solidFill>
                <a:srgbClr val="f8b590"/>
              </a:solidFill>
              <a:ln w="0">
                <a:noFill/>
              </a:ln>
            </c:spPr>
          </c:dPt>
          <c:dLbls>
            <c:numFmt formatCode="0.00%" sourceLinked="0"/>
            <c:dLbl>
              <c:idx val="0"/>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2"/>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3"/>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4"/>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5"/>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6"/>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7"/>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8"/>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9"/>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0"/>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1"/>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showLeaderLines val="1"/>
          </c:dLbls>
          <c:cat>
            <c:strRef>
              <c:f>categories</c:f>
              <c:strCache>
                <c:ptCount val="12"/>
                <c:pt idx="0">
                  <c:v>Земли жилой застройки</c:v>
                </c:pt>
                <c:pt idx="1">
                  <c:v>Земли общественно-деловой застройки</c:v>
                </c:pt>
                <c:pt idx="2">
                  <c:v>Земли промышленности</c:v>
                </c:pt>
                <c:pt idx="3">
                  <c:v>Земли общего пользования</c:v>
                </c:pt>
                <c:pt idx="4">
                  <c:v>Земли под объектами транспорта, связи, инженерных коммуникаций</c:v>
                </c:pt>
                <c:pt idx="5">
                  <c:v>Земли сельскохозяйственного использования</c:v>
                </c:pt>
                <c:pt idx="6">
                  <c:v>Земли особо охраняемых территорий и объектов</c:v>
                </c:pt>
                <c:pt idx="7">
                  <c:v>Земли лесничеств и лесопарков</c:v>
                </c:pt>
                <c:pt idx="8">
                  <c:v>Земли под водными объектами</c:v>
                </c:pt>
                <c:pt idx="9">
                  <c:v>Земли под военными и иными режимными объектами</c:v>
                </c:pt>
                <c:pt idx="10">
                  <c:v>Земли под объектами иного специального назначения</c:v>
                </c:pt>
                <c:pt idx="11">
                  <c:v>Земли, не вовлеченные в градостроительную и иную деятельность</c:v>
                </c:pt>
              </c:strCache>
            </c:strRef>
          </c:cat>
          <c:val>
            <c:numRef>
              <c:f>0</c:f>
              <c:numCache>
                <c:formatCode>General</c:formatCode>
                <c:ptCount val="12"/>
                <c:pt idx="0">
                  <c:v>0.066</c:v>
                </c:pt>
                <c:pt idx="1">
                  <c:v>0.069</c:v>
                </c:pt>
                <c:pt idx="2">
                  <c:v>0.047</c:v>
                </c:pt>
                <c:pt idx="3">
                  <c:v>0.086</c:v>
                </c:pt>
                <c:pt idx="4">
                  <c:v>0.025</c:v>
                </c:pt>
                <c:pt idx="5">
                  <c:v>0.486</c:v>
                </c:pt>
                <c:pt idx="6">
                  <c:v>0.012</c:v>
                </c:pt>
                <c:pt idx="7">
                  <c:v>0.002</c:v>
                </c:pt>
                <c:pt idx="8">
                  <c:v>0.003</c:v>
                </c:pt>
                <c:pt idx="9">
                  <c:v>0.053</c:v>
                </c:pt>
                <c:pt idx="10">
                  <c:v>0.009</c:v>
                </c:pt>
                <c:pt idx="11">
                  <c:v>0.142</c:v>
                </c:pt>
              </c:numCache>
            </c:numRef>
          </c:val>
        </c:ser>
      </c:pie3DChart>
    </c:plotArea>
    <c:legend>
      <c:legendPos val="r"/>
      <c:layout>
        <c:manualLayout>
          <c:xMode val="edge"/>
          <c:yMode val="edge"/>
          <c:x val="0.6604375"/>
          <c:y val="0.03"/>
          <c:w val="0.322832677042315"/>
          <c:h val="0.9537726414046"/>
        </c:manualLayout>
      </c:layout>
      <c:overlay val="0"/>
      <c:spPr>
        <a:noFill/>
        <a:ln w="0">
          <a:noFill/>
        </a:ln>
      </c:spPr>
      <c:txPr>
        <a:bodyPr/>
        <a:lstStyle/>
        <a:p>
          <a:pPr>
            <a:defRPr b="0" sz="6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Ряд1</c:v>
                </c:pt>
              </c:strCache>
            </c:strRef>
          </c:tx>
          <c:spPr>
            <a:solidFill>
              <a:srgbClr val="4f81bd"/>
            </a:solidFill>
            <a:ln w="0">
              <a:noFill/>
            </a:ln>
          </c:spPr>
          <c:explosion val="25"/>
          <c:dPt>
            <c:idx val="0"/>
            <c:explosion val="25"/>
            <c:spPr>
              <a:solidFill>
                <a:srgbClr val="4672a8"/>
              </a:solidFill>
              <a:ln w="0">
                <a:noFill/>
              </a:ln>
            </c:spPr>
          </c:dPt>
          <c:dPt>
            <c:idx val="1"/>
            <c:explosion val="25"/>
            <c:spPr>
              <a:solidFill>
                <a:srgbClr val="ab4744"/>
              </a:solidFill>
              <a:ln w="0">
                <a:noFill/>
              </a:ln>
            </c:spPr>
          </c:dPt>
          <c:dPt>
            <c:idx val="2"/>
            <c:explosion val="25"/>
            <c:spPr>
              <a:solidFill>
                <a:srgbClr val="8aa64f"/>
              </a:solidFill>
              <a:ln w="0">
                <a:noFill/>
              </a:ln>
            </c:spPr>
          </c:dPt>
          <c:dPt>
            <c:idx val="3"/>
            <c:explosion val="25"/>
            <c:spPr>
              <a:solidFill>
                <a:srgbClr val="725990"/>
              </a:solidFill>
              <a:ln w="0">
                <a:noFill/>
              </a:ln>
            </c:spPr>
          </c:dPt>
          <c:dPt>
            <c:idx val="4"/>
            <c:explosion val="25"/>
            <c:spPr>
              <a:solidFill>
                <a:srgbClr val="4299b0"/>
              </a:solidFill>
              <a:ln w="0">
                <a:noFill/>
              </a:ln>
            </c:spPr>
          </c:dPt>
          <c:dPt>
            <c:idx val="5"/>
            <c:explosion val="25"/>
            <c:spPr>
              <a:solidFill>
                <a:srgbClr val="dc853e"/>
              </a:solidFill>
              <a:ln w="0">
                <a:noFill/>
              </a:ln>
            </c:spPr>
          </c:dPt>
          <c:dPt>
            <c:idx val="6"/>
            <c:explosion val="25"/>
            <c:spPr>
              <a:solidFill>
                <a:srgbClr val="93a9ce"/>
              </a:solidFill>
              <a:ln w="0">
                <a:noFill/>
              </a:ln>
            </c:spPr>
          </c:dPt>
          <c:dLbls>
            <c:numFmt formatCode="0.00%" sourceLinked="0"/>
            <c:dLbl>
              <c:idx val="0"/>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2"/>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3"/>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4"/>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5"/>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6"/>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showLeaderLines val="1"/>
          </c:dLbls>
          <c:cat>
            <c:strRef>
              <c:f>categories</c:f>
              <c:strCache>
                <c:ptCount val="7"/>
                <c:pt idx="0">
                  <c:v>Земли промышленности</c:v>
                </c:pt>
                <c:pt idx="1">
                  <c:v>Земли энергетики</c:v>
                </c:pt>
                <c:pt idx="2">
                  <c:v>Земли транспорта</c:v>
                </c:pt>
                <c:pt idx="3">
                  <c:v>Земли связи, радиовещания, телевидения, информатики</c:v>
                </c:pt>
                <c:pt idx="4">
                  <c:v>Земли для обеспечения космической деятельности</c:v>
                </c:pt>
                <c:pt idx="5">
                  <c:v>Земли обороны и безопасности</c:v>
                </c:pt>
                <c:pt idx="6">
                  <c:v>Земли иного специального назначения</c:v>
                </c:pt>
              </c:strCache>
            </c:strRef>
          </c:cat>
          <c:val>
            <c:numRef>
              <c:f>0</c:f>
              <c:numCache>
                <c:formatCode>General</c:formatCode>
                <c:ptCount val="7"/>
                <c:pt idx="0">
                  <c:v>0.062</c:v>
                </c:pt>
                <c:pt idx="1">
                  <c:v>0.022</c:v>
                </c:pt>
                <c:pt idx="2">
                  <c:v>0.082</c:v>
                </c:pt>
                <c:pt idx="3">
                  <c:v>0.003</c:v>
                </c:pt>
                <c:pt idx="4">
                  <c:v>0.001</c:v>
                </c:pt>
                <c:pt idx="5">
                  <c:v>0.816</c:v>
                </c:pt>
                <c:pt idx="6">
                  <c:v>0.015</c:v>
                </c:pt>
              </c:numCache>
            </c:numRef>
          </c:val>
        </c:ser>
      </c:pie3DChart>
    </c:plotArea>
    <c:legend>
      <c:legendPos val="r"/>
      <c:overlay val="0"/>
      <c:spPr>
        <a:noFill/>
        <a:ln w="0">
          <a:noFill/>
        </a:ln>
      </c:spPr>
      <c:txPr>
        <a:bodyPr/>
        <a:lstStyle/>
        <a:p>
          <a:pPr>
            <a:defRPr b="0" sz="8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Ряд1</c:v>
                </c:pt>
              </c:strCache>
            </c:strRef>
          </c:tx>
          <c:spPr>
            <a:solidFill>
              <a:srgbClr val="4f81bd"/>
            </a:solidFill>
            <a:ln w="0">
              <a:noFill/>
            </a:ln>
          </c:spPr>
          <c:explosion val="25"/>
          <c:dPt>
            <c:idx val="0"/>
            <c:explosion val="25"/>
            <c:spPr>
              <a:solidFill>
                <a:srgbClr val="4672a8"/>
              </a:solidFill>
              <a:ln w="0">
                <a:noFill/>
              </a:ln>
            </c:spPr>
          </c:dPt>
          <c:dPt>
            <c:idx val="1"/>
            <c:explosion val="25"/>
            <c:spPr>
              <a:solidFill>
                <a:srgbClr val="ab4744"/>
              </a:solidFill>
              <a:ln w="0">
                <a:noFill/>
              </a:ln>
            </c:spPr>
          </c:dPt>
          <c:dPt>
            <c:idx val="2"/>
            <c:explosion val="25"/>
            <c:spPr>
              <a:solidFill>
                <a:srgbClr val="8aa64f"/>
              </a:solidFill>
              <a:ln w="0">
                <a:noFill/>
              </a:ln>
            </c:spPr>
          </c:dPt>
          <c:dPt>
            <c:idx val="3"/>
            <c:explosion val="25"/>
            <c:spPr>
              <a:solidFill>
                <a:srgbClr val="725990"/>
              </a:solidFill>
              <a:ln w="0">
                <a:noFill/>
              </a:ln>
            </c:spPr>
          </c:dPt>
          <c:dPt>
            <c:idx val="4"/>
            <c:explosion val="25"/>
            <c:spPr>
              <a:solidFill>
                <a:srgbClr val="4299b0"/>
              </a:solidFill>
              <a:ln w="0">
                <a:noFill/>
              </a:ln>
            </c:spPr>
          </c:dPt>
          <c:dPt>
            <c:idx val="5"/>
            <c:explosion val="25"/>
            <c:spPr>
              <a:solidFill>
                <a:srgbClr val="dc853e"/>
              </a:solidFill>
              <a:ln w="0">
                <a:noFill/>
              </a:ln>
            </c:spPr>
          </c:dPt>
          <c:dPt>
            <c:idx val="6"/>
            <c:explosion val="25"/>
            <c:spPr>
              <a:solidFill>
                <a:srgbClr val="93a9ce"/>
              </a:solidFill>
              <a:ln w="0">
                <a:noFill/>
              </a:ln>
            </c:spPr>
          </c:dPt>
          <c:dLbls>
            <c:numFmt formatCode="0.00%" sourceLinked="0"/>
            <c:dLbl>
              <c:idx val="0"/>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2"/>
              <c:numFmt formatCode="0.00%" sourceLinked="0"/>
              <c:txPr>
                <a:bodyPr wrap="square"/>
                <a:lstStyle/>
                <a:p>
                  <a:pPr>
                    <a:defRPr b="0" sz="1000" spc="-1" strike="noStrike">
                      <a:solidFill>
                        <a:srgbClr val="000000"/>
                      </a:solidFill>
                      <a:latin typeface="Calibri"/>
                    </a:defRPr>
                  </a:pPr>
                </a:p>
              </c:txPr>
              <c:dLblPos val="outEnd"/>
              <c:showLegendKey val="0"/>
              <c:showVal val="1"/>
              <c:showCatName val="0"/>
              <c:showSerName val="0"/>
              <c:showPercent val="0"/>
              <c:separator>; </c:separator>
            </c:dLbl>
            <c:dLbl>
              <c:idx val="3"/>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4"/>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5"/>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6"/>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showLeaderLines val="1"/>
          </c:dLbls>
          <c:cat>
            <c:strRef>
              <c:f>categories</c:f>
              <c:strCache>
                <c:ptCount val="7"/>
                <c:pt idx="0">
                  <c:v>земли особо охраняемых природных территорий</c:v>
                </c:pt>
                <c:pt idx="1">
                  <c:v>Земли рекреационного назначения</c:v>
                </c:pt>
                <c:pt idx="2">
                  <c:v>Земли историко-культурного назначения</c:v>
                </c:pt>
                <c:pt idx="3">
                  <c:v/>
                </c:pt>
                <c:pt idx="4">
                  <c:v/>
                </c:pt>
                <c:pt idx="5">
                  <c:v/>
                </c:pt>
                <c:pt idx="6">
                  <c:v/>
                </c:pt>
              </c:strCache>
            </c:strRef>
          </c:cat>
          <c:val>
            <c:numRef>
              <c:f>0</c:f>
              <c:numCache>
                <c:formatCode>General</c:formatCode>
                <c:ptCount val="7"/>
                <c:pt idx="0">
                  <c:v>0.9295</c:v>
                </c:pt>
                <c:pt idx="1">
                  <c:v>0.0702</c:v>
                </c:pt>
                <c:pt idx="2">
                  <c:v>0.0002</c:v>
                </c:pt>
              </c:numCache>
            </c:numRef>
          </c:val>
        </c:ser>
      </c:pie3DChart>
    </c:plotArea>
    <c:legend>
      <c:legendPos val="r"/>
      <c:legendEntry>
        <c:idx val="3"/>
        <c:delete val="1"/>
      </c:legendEntry>
      <c:legendEntry>
        <c:idx val="4"/>
        <c:delete val="1"/>
      </c:legendEntry>
      <c:legendEntry>
        <c:idx val="5"/>
        <c:delete val="1"/>
      </c:legendEntry>
      <c:legendEntry>
        <c:idx val="6"/>
        <c:delete val="1"/>
      </c:legendEntry>
      <c:overlay val="0"/>
      <c:spPr>
        <a:noFill/>
        <a:ln w="0">
          <a:noFill/>
        </a:ln>
      </c:spPr>
      <c:txPr>
        <a:bodyPr/>
        <a:lstStyle/>
        <a:p>
          <a:pPr>
            <a:defRPr b="0" sz="8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Ряд1</c:v>
                </c:pt>
              </c:strCache>
            </c:strRef>
          </c:tx>
          <c:spPr>
            <a:solidFill>
              <a:srgbClr val="4f81bd"/>
            </a:solidFill>
            <a:ln w="0">
              <a:noFill/>
            </a:ln>
          </c:spPr>
          <c:explosion val="25"/>
          <c:dPt>
            <c:idx val="0"/>
            <c:explosion val="25"/>
            <c:spPr>
              <a:solidFill>
                <a:srgbClr val="4672a8"/>
              </a:solidFill>
              <a:ln w="0">
                <a:noFill/>
              </a:ln>
            </c:spPr>
          </c:dPt>
          <c:dPt>
            <c:idx val="1"/>
            <c:explosion val="25"/>
            <c:spPr>
              <a:solidFill>
                <a:srgbClr val="ab4744"/>
              </a:solidFill>
              <a:ln w="0">
                <a:noFill/>
              </a:ln>
            </c:spPr>
          </c:dPt>
          <c:dPt>
            <c:idx val="2"/>
            <c:explosion val="25"/>
            <c:spPr>
              <a:solidFill>
                <a:srgbClr val="8aa64f"/>
              </a:solidFill>
              <a:ln w="0">
                <a:noFill/>
              </a:ln>
            </c:spPr>
          </c:dPt>
          <c:dPt>
            <c:idx val="3"/>
            <c:explosion val="25"/>
            <c:spPr>
              <a:solidFill>
                <a:srgbClr val="725990"/>
              </a:solidFill>
              <a:ln w="0">
                <a:noFill/>
              </a:ln>
            </c:spPr>
          </c:dPt>
          <c:dPt>
            <c:idx val="4"/>
            <c:explosion val="25"/>
            <c:spPr>
              <a:solidFill>
                <a:srgbClr val="4299b0"/>
              </a:solidFill>
              <a:ln w="0">
                <a:noFill/>
              </a:ln>
            </c:spPr>
          </c:dPt>
          <c:dPt>
            <c:idx val="5"/>
            <c:explosion val="25"/>
            <c:spPr>
              <a:solidFill>
                <a:srgbClr val="dc853e"/>
              </a:solidFill>
              <a:ln w="0">
                <a:noFill/>
              </a:ln>
            </c:spPr>
          </c:dPt>
          <c:dPt>
            <c:idx val="6"/>
            <c:explosion val="25"/>
            <c:spPr>
              <a:solidFill>
                <a:srgbClr val="93a9ce"/>
              </a:solidFill>
              <a:ln w="0">
                <a:noFill/>
              </a:ln>
            </c:spPr>
          </c:dPt>
          <c:dLbls>
            <c:numFmt formatCode="0.00%" sourceLinked="0"/>
            <c:dLbl>
              <c:idx val="0"/>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2"/>
              <c:numFmt formatCode="0.00%" sourceLinked="0"/>
              <c:txPr>
                <a:bodyPr wrap="square"/>
                <a:lstStyle/>
                <a:p>
                  <a:pPr>
                    <a:defRPr b="0" sz="1000" spc="-1" strike="noStrike">
                      <a:solidFill>
                        <a:srgbClr val="000000"/>
                      </a:solidFill>
                      <a:latin typeface="Calibri"/>
                    </a:defRPr>
                  </a:pPr>
                </a:p>
              </c:txPr>
              <c:dLblPos val="outEnd"/>
              <c:showLegendKey val="0"/>
              <c:showVal val="1"/>
              <c:showCatName val="0"/>
              <c:showSerName val="0"/>
              <c:showPercent val="0"/>
              <c:separator>; </c:separator>
            </c:dLbl>
            <c:dLbl>
              <c:idx val="3"/>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4"/>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5"/>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6"/>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showLeaderLines val="1"/>
          </c:dLbls>
          <c:cat>
            <c:strRef>
              <c:f>categories</c:f>
              <c:strCache>
                <c:ptCount val="7"/>
                <c:pt idx="0">
                  <c:v>Пашня</c:v>
                </c:pt>
                <c:pt idx="1">
                  <c:v>Залежь</c:v>
                </c:pt>
                <c:pt idx="2">
                  <c:v>Многолетние насаждения</c:v>
                </c:pt>
                <c:pt idx="3">
                  <c:v>Пастбища</c:v>
                </c:pt>
                <c:pt idx="4">
                  <c:v>Сенокосы</c:v>
                </c:pt>
                <c:pt idx="5">
                  <c:v/>
                </c:pt>
                <c:pt idx="6">
                  <c:v/>
                </c:pt>
              </c:strCache>
            </c:strRef>
          </c:cat>
          <c:val>
            <c:numRef>
              <c:f>0</c:f>
              <c:numCache>
                <c:formatCode>General</c:formatCode>
                <c:ptCount val="7"/>
                <c:pt idx="0">
                  <c:v>0.503</c:v>
                </c:pt>
                <c:pt idx="1">
                  <c:v>0.042</c:v>
                </c:pt>
                <c:pt idx="2">
                  <c:v>0.014</c:v>
                </c:pt>
                <c:pt idx="3">
                  <c:v>0.241</c:v>
                </c:pt>
                <c:pt idx="4">
                  <c:v>0.2</c:v>
                </c:pt>
              </c:numCache>
            </c:numRef>
          </c:val>
        </c:ser>
      </c:pie3DChart>
    </c:plotArea>
    <c:legend>
      <c:legendPos val="r"/>
      <c:legendEntry>
        <c:idx val="3"/>
        <c:delete val="1"/>
      </c:legendEntry>
      <c:legendEntry>
        <c:idx val="4"/>
        <c:delete val="1"/>
      </c:legendEntry>
      <c:legendEntry>
        <c:idx val="5"/>
        <c:delete val="1"/>
      </c:legendEntry>
      <c:legendEntry>
        <c:idx val="6"/>
        <c:delete val="1"/>
      </c:legendEntry>
      <c:overlay val="0"/>
      <c:spPr>
        <a:noFill/>
        <a:ln w="0">
          <a:noFill/>
        </a:ln>
      </c:spPr>
      <c:txPr>
        <a:bodyPr/>
        <a:lstStyle/>
        <a:p>
          <a:pPr>
            <a:defRPr b="0" sz="8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Ряд1</c:v>
                </c:pt>
              </c:strCache>
            </c:strRef>
          </c:tx>
          <c:spPr>
            <a:solidFill>
              <a:srgbClr val="4f81bd"/>
            </a:solidFill>
            <a:ln w="0">
              <a:noFill/>
            </a:ln>
          </c:spPr>
          <c:explosion val="25"/>
          <c:dPt>
            <c:idx val="0"/>
            <c:explosion val="25"/>
            <c:spPr>
              <a:solidFill>
                <a:srgbClr val="4f81bd"/>
              </a:solidFill>
              <a:ln w="0">
                <a:noFill/>
              </a:ln>
            </c:spPr>
          </c:dPt>
          <c:dPt>
            <c:idx val="1"/>
            <c:explosion val="25"/>
            <c:spPr>
              <a:solidFill>
                <a:srgbClr val="c0504d"/>
              </a:solidFill>
              <a:ln w="0">
                <a:noFill/>
              </a:ln>
            </c:spPr>
          </c:dPt>
          <c:dPt>
            <c:idx val="2"/>
            <c:explosion val="25"/>
            <c:spPr>
              <a:solidFill>
                <a:srgbClr val="9bbb59"/>
              </a:solidFill>
              <a:ln w="0">
                <a:noFill/>
              </a:ln>
            </c:spPr>
          </c:dPt>
          <c:dPt>
            <c:idx val="3"/>
            <c:explosion val="25"/>
            <c:spPr>
              <a:solidFill>
                <a:srgbClr val="8064a2"/>
              </a:solidFill>
              <a:ln w="0">
                <a:noFill/>
              </a:ln>
            </c:spPr>
          </c:dPt>
          <c:dLbls>
            <c:numFmt formatCode="0.00%" sourceLinked="0"/>
            <c:dLbl>
              <c:idx val="0"/>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2"/>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3"/>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showLeaderLines val="1"/>
          </c:dLbls>
          <c:cat>
            <c:strRef>
              <c:f>categories</c:f>
              <c:strCache>
                <c:ptCount val="4"/>
                <c:pt idx="0">
                  <c:v>Земли застройки в городских населенных пунктах</c:v>
                </c:pt>
                <c:pt idx="1">
                  <c:v>Земли застройки в сельских населенных пунктах</c:v>
                </c:pt>
                <c:pt idx="2">
                  <c:v>Земли застройки на землях промышленности</c:v>
                </c:pt>
                <c:pt idx="3">
                  <c:v>Земли застройки на других категориях земель</c:v>
                </c:pt>
              </c:strCache>
            </c:strRef>
          </c:cat>
          <c:val>
            <c:numRef>
              <c:f>0</c:f>
              <c:numCache>
                <c:formatCode>General</c:formatCode>
                <c:ptCount val="4"/>
                <c:pt idx="0">
                  <c:v>0.431</c:v>
                </c:pt>
                <c:pt idx="1">
                  <c:v>0.263</c:v>
                </c:pt>
                <c:pt idx="2">
                  <c:v>0.197</c:v>
                </c:pt>
                <c:pt idx="3">
                  <c:v>0.068</c:v>
                </c:pt>
              </c:numCache>
            </c:numRef>
          </c:val>
        </c:ser>
      </c:pie3DChart>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Ряд1</c:v>
                </c:pt>
              </c:strCache>
            </c:strRef>
          </c:tx>
          <c:spPr>
            <a:solidFill>
              <a:srgbClr val="4f81bd"/>
            </a:solidFill>
            <a:ln w="0">
              <a:noFill/>
            </a:ln>
          </c:spPr>
          <c:explosion val="25"/>
          <c:dPt>
            <c:idx val="0"/>
            <c:explosion val="25"/>
            <c:spPr>
              <a:solidFill>
                <a:srgbClr val="4f81bd"/>
              </a:solidFill>
              <a:ln w="0">
                <a:noFill/>
              </a:ln>
            </c:spPr>
          </c:dPt>
          <c:dPt>
            <c:idx val="1"/>
            <c:explosion val="25"/>
            <c:spPr>
              <a:solidFill>
                <a:srgbClr val="c0504d"/>
              </a:solidFill>
              <a:ln w="0">
                <a:noFill/>
              </a:ln>
            </c:spPr>
          </c:dPt>
          <c:dPt>
            <c:idx val="2"/>
            <c:explosion val="25"/>
            <c:spPr>
              <a:solidFill>
                <a:srgbClr val="9bbb59"/>
              </a:solidFill>
              <a:ln w="0">
                <a:noFill/>
              </a:ln>
            </c:spPr>
          </c:dPt>
          <c:dPt>
            <c:idx val="3"/>
            <c:explosion val="25"/>
            <c:spPr>
              <a:solidFill>
                <a:srgbClr val="8064a2"/>
              </a:solidFill>
              <a:ln w="0">
                <a:noFill/>
              </a:ln>
            </c:spPr>
          </c:dPt>
          <c:dPt>
            <c:idx val="4"/>
            <c:explosion val="25"/>
            <c:spPr>
              <a:solidFill>
                <a:srgbClr val="4bacc6"/>
              </a:solidFill>
              <a:ln w="0">
                <a:noFill/>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4"/>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5"/>
                <c:pt idx="0">
                  <c:v>Земли сельскохозяйственного назначения</c:v>
                </c:pt>
                <c:pt idx="1">
                  <c:v>Земли населенных пунктов</c:v>
                </c:pt>
                <c:pt idx="2">
                  <c:v>Земли промышленности</c:v>
                </c:pt>
                <c:pt idx="3">
                  <c:v>Земли лесного фонда</c:v>
                </c:pt>
                <c:pt idx="4">
                  <c:v>Земли запаса</c:v>
                </c:pt>
              </c:strCache>
            </c:strRef>
          </c:cat>
          <c:val>
            <c:numRef>
              <c:f>0</c:f>
              <c:numCache>
                <c:formatCode>General</c:formatCode>
                <c:ptCount val="5"/>
                <c:pt idx="0">
                  <c:v>0.048</c:v>
                </c:pt>
                <c:pt idx="1">
                  <c:v>0.036</c:v>
                </c:pt>
                <c:pt idx="2">
                  <c:v>0.714</c:v>
                </c:pt>
                <c:pt idx="3">
                  <c:v>0.068</c:v>
                </c:pt>
                <c:pt idx="4">
                  <c:v>0.125</c:v>
                </c:pt>
              </c:numCache>
            </c:numRef>
          </c:val>
        </c:ser>
      </c:pie3DChart>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Ряд1</c:v>
                </c:pt>
              </c:strCache>
            </c:strRef>
          </c:tx>
          <c:spPr>
            <a:solidFill>
              <a:srgbClr val="4f81bd"/>
            </a:solidFill>
            <a:ln w="0">
              <a:noFill/>
            </a:ln>
          </c:spPr>
          <c:explosion val="25"/>
          <c:dPt>
            <c:idx val="0"/>
            <c:explosion val="25"/>
            <c:spPr>
              <a:solidFill>
                <a:srgbClr val="4f81bd"/>
              </a:solidFill>
              <a:ln w="0">
                <a:noFill/>
              </a:ln>
            </c:spPr>
          </c:dPt>
          <c:dPt>
            <c:idx val="1"/>
            <c:explosion val="25"/>
            <c:spPr>
              <a:solidFill>
                <a:srgbClr val="c0504d"/>
              </a:solidFill>
              <a:ln w="0">
                <a:noFill/>
              </a:ln>
            </c:spPr>
          </c:dPt>
          <c:dPt>
            <c:idx val="2"/>
            <c:explosion val="25"/>
            <c:spPr>
              <a:solidFill>
                <a:srgbClr val="9bbb59"/>
              </a:solidFill>
              <a:ln w="0">
                <a:noFill/>
              </a:ln>
            </c:spPr>
          </c:dPt>
          <c:dLbls>
            <c:numFmt formatCode="0.00%" sourceLinked="0"/>
            <c:dLbl>
              <c:idx val="0"/>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2"/>
              <c:numFmt formatCode="0.00%"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showLeaderLines val="1"/>
          </c:dLbls>
          <c:cat>
            <c:strRef>
              <c:f>categories</c:f>
              <c:strCache>
                <c:ptCount val="3"/>
                <c:pt idx="0">
                  <c:v>В собственности граждан</c:v>
                </c:pt>
                <c:pt idx="1">
                  <c:v>В собственности юридических лиц</c:v>
                </c:pt>
                <c:pt idx="2">
                  <c:v>В государственной и муниципальной собственности</c:v>
                </c:pt>
              </c:strCache>
            </c:strRef>
          </c:cat>
          <c:val>
            <c:numRef>
              <c:f>0</c:f>
              <c:numCache>
                <c:formatCode>General</c:formatCode>
                <c:ptCount val="3"/>
                <c:pt idx="0">
                  <c:v>0.316</c:v>
                </c:pt>
                <c:pt idx="1">
                  <c:v>0.122</c:v>
                </c:pt>
                <c:pt idx="2">
                  <c:v>0.563</c:v>
                </c:pt>
              </c:numCache>
            </c:numRef>
          </c:val>
        </c:ser>
      </c:pie3DChart>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9DAC7-149F-4E04-B64F-C66B617FB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2347</TotalTime>
  <Application>LibreOffice/7.3.7.2$Linux_X86_64 LibreOffice_project/30$Build-2</Application>
  <AppVersion>15.0000</AppVersion>
  <Pages>180</Pages>
  <Words>1001</Words>
  <Characters>4663</Characters>
  <CharactersWithSpaces>5000</CharactersWithSpaces>
  <Paragraphs>683</Paragraphs>
  <Company>Управление Федеральной службы государственной регистрации, кадастра и картографии по Приморскому краю</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2016-03-23T03:54:00Z</dcterms:created>
  <dc:creator>Кузнецов Д В</dc:creator>
  <dc:description/>
  <dc:language>ru-RU</dc:language>
  <cp:lastModifiedBy>user</cp:lastModifiedBy>
  <cp:lastPrinted>2017-05-26T06:15:00Z</cp:lastPrinted>
  <dcterms:modified xsi:type="dcterms:W3CDTF">2017-05-26T06:17:00Z</dcterms:modified>
  <cp:revision>80</cp:revision>
  <dc:subject/>
  <dc:title/>
</cp:coreProperties>
</file>

<file path=docProps/custom.xml><?xml version="1.0" encoding="utf-8"?>
<Properties xmlns="http://schemas.openxmlformats.org/officeDocument/2006/custom-properties" xmlns:vt="http://schemas.openxmlformats.org/officeDocument/2006/docPropsVTypes"/>
</file>